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63E2" w14:textId="77777777" w:rsidR="00222253" w:rsidRDefault="004851CE">
      <w:pPr>
        <w:tabs>
          <w:tab w:val="left" w:pos="4127"/>
          <w:tab w:val="left" w:pos="8147"/>
        </w:tabs>
        <w:ind w:left="938"/>
        <w:rPr>
          <w:sz w:val="20"/>
          <w:szCs w:val="20"/>
        </w:rPr>
      </w:pPr>
      <w:r>
        <w:rPr>
          <w:noProof/>
          <w:sz w:val="33"/>
          <w:szCs w:val="33"/>
          <w:vertAlign w:val="superscript"/>
        </w:rPr>
        <w:drawing>
          <wp:inline distT="0" distB="0" distL="0" distR="0" wp14:anchorId="42656462" wp14:editId="42656463">
            <wp:extent cx="1385380" cy="539496"/>
            <wp:effectExtent l="0" t="0" r="0" b="0"/>
            <wp:docPr id="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5380" cy="539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3"/>
          <w:szCs w:val="33"/>
          <w:vertAlign w:val="superscript"/>
        </w:rPr>
        <w:tab/>
      </w:r>
      <w:r>
        <w:rPr>
          <w:sz w:val="33"/>
          <w:szCs w:val="33"/>
          <w:vertAlign w:val="superscript"/>
        </w:rPr>
        <w:tab/>
      </w:r>
    </w:p>
    <w:p w14:paraId="426563E3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a"/>
        <w:tblW w:w="10220" w:type="dxa"/>
        <w:tblInd w:w="114" w:type="dxa"/>
        <w:tblBorders>
          <w:top w:val="single" w:sz="4" w:space="0" w:color="F1F1F1"/>
          <w:left w:val="single" w:sz="4" w:space="0" w:color="F1F1F1"/>
          <w:bottom w:val="single" w:sz="4" w:space="0" w:color="F1F1F1"/>
          <w:right w:val="single" w:sz="4" w:space="0" w:color="F1F1F1"/>
          <w:insideH w:val="single" w:sz="4" w:space="0" w:color="F1F1F1"/>
          <w:insideV w:val="single" w:sz="4" w:space="0" w:color="F1F1F1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6236"/>
        <w:gridCol w:w="2280"/>
      </w:tblGrid>
      <w:tr w:rsidR="00222253" w14:paraId="426563E8" w14:textId="77777777">
        <w:trPr>
          <w:trHeight w:val="1115"/>
        </w:trPr>
        <w:tc>
          <w:tcPr>
            <w:tcW w:w="1704" w:type="dxa"/>
          </w:tcPr>
          <w:p w14:paraId="426563E4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bookmarkStart w:id="0" w:name="_i852jmka53g6" w:colFirst="0" w:colLast="0"/>
            <w:bookmarkEnd w:id="0"/>
          </w:p>
        </w:tc>
        <w:tc>
          <w:tcPr>
            <w:tcW w:w="8516" w:type="dxa"/>
            <w:gridSpan w:val="2"/>
          </w:tcPr>
          <w:p w14:paraId="426563E5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130" w:firstLine="141"/>
              <w:jc w:val="center"/>
              <w:rPr>
                <w:rFonts w:ascii="Trebuchet MS" w:eastAsia="Trebuchet MS" w:hAnsi="Trebuchet MS" w:cs="Trebuchet MS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40"/>
                <w:szCs w:val="40"/>
              </w:rPr>
              <w:t>A EFICÁCIA DAS POLÍTICAS DE COTAS RACIAIS NO ENSINO SUPERIOR: UM OLHAR JURÍDICO SOBRE A INCLUSÃO E A IGUALDADE DE OPORTUNIDADES</w:t>
            </w:r>
          </w:p>
          <w:p w14:paraId="426563E6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130" w:firstLine="141"/>
              <w:jc w:val="center"/>
              <w:rPr>
                <w:rFonts w:ascii="Trebuchet MS" w:eastAsia="Trebuchet MS" w:hAnsi="Trebuchet MS" w:cs="Trebuchet MS"/>
                <w:b/>
                <w:bCs/>
                <w:color w:val="000000"/>
                <w:sz w:val="40"/>
                <w:szCs w:val="40"/>
              </w:rPr>
            </w:pPr>
          </w:p>
          <w:p w14:paraId="426563E7" w14:textId="77777777" w:rsidR="00222253" w:rsidRDefault="004851CE">
            <w:pPr>
              <w:ind w:left="156" w:right="130" w:firstLine="141"/>
              <w:jc w:val="center"/>
            </w:pPr>
            <w:r>
              <w:rPr>
                <w:rFonts w:ascii="Trebuchet MS" w:eastAsia="Trebuchet MS" w:hAnsi="Trebuchet MS" w:cs="Trebuchet MS"/>
                <w:b/>
                <w:bCs/>
                <w:sz w:val="40"/>
                <w:szCs w:val="40"/>
              </w:rPr>
              <w:t>THE EFFECTIVENESS OF RACIAL QUOTA POLICIES IN HIGHER EDUCATION: A LEGAL PERSPECTIVE ON INCLUSION AND EQUALITY OF OPPORTUNITY</w:t>
            </w:r>
          </w:p>
        </w:tc>
      </w:tr>
      <w:tr w:rsidR="00222253" w14:paraId="426563EB" w14:textId="77777777">
        <w:trPr>
          <w:trHeight w:val="184"/>
        </w:trPr>
        <w:tc>
          <w:tcPr>
            <w:tcW w:w="1704" w:type="dxa"/>
          </w:tcPr>
          <w:p w14:paraId="426563E9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516" w:type="dxa"/>
            <w:gridSpan w:val="2"/>
          </w:tcPr>
          <w:p w14:paraId="426563EA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222253" w14:paraId="426563EE" w14:textId="77777777" w:rsidTr="005522E0">
        <w:trPr>
          <w:trHeight w:val="184"/>
        </w:trPr>
        <w:tc>
          <w:tcPr>
            <w:tcW w:w="1704" w:type="dxa"/>
            <w:vAlign w:val="center"/>
          </w:tcPr>
          <w:p w14:paraId="426563EC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Maria Luiza Silva Faria</w:t>
            </w:r>
          </w:p>
        </w:tc>
        <w:tc>
          <w:tcPr>
            <w:tcW w:w="8516" w:type="dxa"/>
            <w:gridSpan w:val="2"/>
            <w:vAlign w:val="center"/>
          </w:tcPr>
          <w:p w14:paraId="47940AAA" w14:textId="77777777" w:rsidR="005522E0" w:rsidRDefault="005522E0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Centro Universitário Geraldo </w:t>
            </w:r>
            <w:proofErr w:type="spellStart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</w:t>
            </w:r>
            <w:proofErr w:type="spellEnd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Biase</w:t>
            </w:r>
            <w:proofErr w:type="spellEnd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, Volta Redonda/RJ, Brasil</w:t>
            </w:r>
          </w:p>
          <w:p w14:paraId="426563ED" w14:textId="0CEEFE0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malufaria46@gmail.com</w:t>
            </w:r>
          </w:p>
        </w:tc>
      </w:tr>
      <w:tr w:rsidR="00222253" w14:paraId="426563F1" w14:textId="77777777" w:rsidTr="005522E0">
        <w:trPr>
          <w:trHeight w:val="184"/>
        </w:trPr>
        <w:tc>
          <w:tcPr>
            <w:tcW w:w="1704" w:type="dxa"/>
            <w:vAlign w:val="center"/>
          </w:tcPr>
          <w:p w14:paraId="426563EF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Regina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Coeli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Silveira</w:t>
            </w:r>
          </w:p>
        </w:tc>
        <w:tc>
          <w:tcPr>
            <w:tcW w:w="8516" w:type="dxa"/>
            <w:gridSpan w:val="2"/>
            <w:vAlign w:val="center"/>
          </w:tcPr>
          <w:p w14:paraId="1D479D06" w14:textId="5F5FAE45" w:rsidR="005522E0" w:rsidRDefault="005522E0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Centro Universitário Geraldo </w:t>
            </w:r>
            <w:proofErr w:type="spellStart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</w:t>
            </w:r>
            <w:proofErr w:type="spellEnd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Biase</w:t>
            </w:r>
            <w:proofErr w:type="spellEnd"/>
            <w:r w:rsidRPr="00C13CAA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, Volta Redonda/RJ, Brasil</w:t>
            </w:r>
          </w:p>
          <w:p w14:paraId="426563F0" w14:textId="1569F779" w:rsidR="00222253" w:rsidRDefault="0003378B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p</w:t>
            </w:r>
            <w:r w:rsidRPr="0003378B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rofrregima_coelii@yahoo.com.br</w:t>
            </w:r>
          </w:p>
        </w:tc>
      </w:tr>
      <w:tr w:rsidR="00222253" w14:paraId="426563F4" w14:textId="77777777">
        <w:trPr>
          <w:trHeight w:val="184"/>
        </w:trPr>
        <w:tc>
          <w:tcPr>
            <w:tcW w:w="1704" w:type="dxa"/>
          </w:tcPr>
          <w:p w14:paraId="426563F2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516" w:type="dxa"/>
            <w:gridSpan w:val="2"/>
            <w:vAlign w:val="center"/>
          </w:tcPr>
          <w:p w14:paraId="426563F3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222253" w14:paraId="426563FA" w14:textId="77777777" w:rsidTr="005522E0">
        <w:trPr>
          <w:trHeight w:val="3136"/>
        </w:trPr>
        <w:tc>
          <w:tcPr>
            <w:tcW w:w="1704" w:type="dxa"/>
            <w:vAlign w:val="center"/>
          </w:tcPr>
          <w:p w14:paraId="426563F8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right="97"/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  <w:t>Resumo</w:t>
            </w:r>
          </w:p>
        </w:tc>
        <w:tc>
          <w:tcPr>
            <w:tcW w:w="8516" w:type="dxa"/>
            <w:gridSpan w:val="2"/>
          </w:tcPr>
          <w:p w14:paraId="426563F9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88"/>
              <w:jc w:val="both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Este artigo analisa a relação entre o Estado Democrático de Direito, os direitos sociais e as ações afirmativas no Brasil, com ênfase no sistema de cotas raciais e sociais no ensino superior. Parte-se da premissa constitucional de 1988, que consagrou a dignidade da pessoa humana e a igualdade material como fundamentos da ordem jurídica, para investigar como o racismo estrutural condiciona o acesso à educação superior e de que forma as políticas afirmativas buscam corrigir essa distorção histórica. O estudo examina o entendimento do Supremo Tribunal Federal na ADPF nº 186, que reconheceu a constitucionalidade das cotas raciais, e discute criticamente o acórdão do Superior Tribunal de Justiça no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AgInt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no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REsp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nº 2.088.397/PB, no qual a interpretação restritiva do artigo 4º da Lei nº 12.711/2012 é contrastada com os princípios que fundamentam a política de cotas. A partir de pesquisa bibliográfica, documental e de análise jurisprudencial, os resultados indicam que as cotas raciais e sociais constituem instrumentos legítimos de reparação histórica e de justiça distributiva, cuja efetividade depende de uma interpretação teleológica das normas que as regem, alinhada aos valores constitucionais de igualdade e dignidade da pessoa humana.</w:t>
            </w:r>
          </w:p>
        </w:tc>
      </w:tr>
      <w:tr w:rsidR="00222253" w14:paraId="426563FD" w14:textId="77777777" w:rsidTr="005522E0">
        <w:trPr>
          <w:trHeight w:val="208"/>
        </w:trPr>
        <w:tc>
          <w:tcPr>
            <w:tcW w:w="1704" w:type="dxa"/>
            <w:vAlign w:val="center"/>
          </w:tcPr>
          <w:p w14:paraId="426563FB" w14:textId="77777777" w:rsidR="00222253" w:rsidRDefault="00222253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  <w:tc>
          <w:tcPr>
            <w:tcW w:w="8516" w:type="dxa"/>
            <w:gridSpan w:val="2"/>
          </w:tcPr>
          <w:p w14:paraId="426563FC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</w:tr>
      <w:tr w:rsidR="00222253" w14:paraId="42656400" w14:textId="77777777" w:rsidTr="005522E0">
        <w:trPr>
          <w:trHeight w:val="417"/>
        </w:trPr>
        <w:tc>
          <w:tcPr>
            <w:tcW w:w="1704" w:type="dxa"/>
            <w:vAlign w:val="center"/>
          </w:tcPr>
          <w:p w14:paraId="426563FE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right="95"/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  <w:t>Palavras-chave</w:t>
            </w:r>
          </w:p>
        </w:tc>
        <w:tc>
          <w:tcPr>
            <w:tcW w:w="8516" w:type="dxa"/>
            <w:gridSpan w:val="2"/>
          </w:tcPr>
          <w:p w14:paraId="426563FF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08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Igualdade. Ações Afirmativas. Cotas Raciais. Estado Democrático de Direito. Justiça Social.</w:t>
            </w:r>
          </w:p>
        </w:tc>
      </w:tr>
      <w:tr w:rsidR="00222253" w14:paraId="42656403" w14:textId="77777777" w:rsidTr="005522E0">
        <w:trPr>
          <w:trHeight w:val="306"/>
        </w:trPr>
        <w:tc>
          <w:tcPr>
            <w:tcW w:w="1704" w:type="dxa"/>
            <w:vAlign w:val="center"/>
          </w:tcPr>
          <w:p w14:paraId="42656401" w14:textId="77777777" w:rsidR="00222253" w:rsidRDefault="00222253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  <w:tc>
          <w:tcPr>
            <w:tcW w:w="8516" w:type="dxa"/>
            <w:gridSpan w:val="2"/>
          </w:tcPr>
          <w:p w14:paraId="42656402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</w:tr>
      <w:tr w:rsidR="00222253" w14:paraId="42656406" w14:textId="77777777" w:rsidTr="005522E0">
        <w:trPr>
          <w:trHeight w:val="1045"/>
        </w:trPr>
        <w:tc>
          <w:tcPr>
            <w:tcW w:w="1704" w:type="dxa"/>
            <w:vAlign w:val="center"/>
          </w:tcPr>
          <w:p w14:paraId="42656404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right="94"/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  <w:t>Abstract</w:t>
            </w:r>
            <w:proofErr w:type="spellEnd"/>
          </w:p>
        </w:tc>
        <w:tc>
          <w:tcPr>
            <w:tcW w:w="8516" w:type="dxa"/>
            <w:gridSpan w:val="2"/>
          </w:tcPr>
          <w:p w14:paraId="42656405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3"/>
              <w:jc w:val="both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article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analyzes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relationship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between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Democratic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Rule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Law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social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rights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affirmative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action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Brazil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with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emphasis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racial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social quota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system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higher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education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Starting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from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constitutional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premise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1988,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which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established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human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dignity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material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equality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as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foundations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legal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order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study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investigates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how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structural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racism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conditions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access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higher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education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how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affirmative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policies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seek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correct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historical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distortion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study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examines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understanding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Brazilian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Federal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Supreme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Court in ADPF No. 186,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which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recognized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constitutionality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racial quotas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critically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discusses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ruling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Superior Court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Justice in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AgInt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no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REsp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No. 2,088,397/PB, in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which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restrictive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interpretation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Article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Law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No. 12,711/2012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contrasted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with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principles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underlying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quota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policy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Based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bibliographic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documentary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case-law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analysis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results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indicate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that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racial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social quotas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constitute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legitimate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instruments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historical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reparation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distributive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justice,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whose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effectiveness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depends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teleological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interpretation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rules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governing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them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aligned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with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constitutional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values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equality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human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dignity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.</w:t>
            </w:r>
          </w:p>
        </w:tc>
      </w:tr>
      <w:tr w:rsidR="00222253" w14:paraId="42656409" w14:textId="77777777" w:rsidTr="005522E0">
        <w:trPr>
          <w:trHeight w:val="208"/>
        </w:trPr>
        <w:tc>
          <w:tcPr>
            <w:tcW w:w="1704" w:type="dxa"/>
            <w:vAlign w:val="center"/>
          </w:tcPr>
          <w:p w14:paraId="42656407" w14:textId="77777777" w:rsidR="00222253" w:rsidRDefault="00222253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  <w:tc>
          <w:tcPr>
            <w:tcW w:w="8516" w:type="dxa"/>
            <w:gridSpan w:val="2"/>
          </w:tcPr>
          <w:p w14:paraId="42656408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</w:p>
        </w:tc>
      </w:tr>
      <w:tr w:rsidR="00222253" w14:paraId="4265640C" w14:textId="77777777" w:rsidTr="005522E0">
        <w:trPr>
          <w:trHeight w:val="208"/>
        </w:trPr>
        <w:tc>
          <w:tcPr>
            <w:tcW w:w="1704" w:type="dxa"/>
            <w:vAlign w:val="center"/>
          </w:tcPr>
          <w:p w14:paraId="4265640A" w14:textId="77777777" w:rsidR="00222253" w:rsidRDefault="004851CE" w:rsidP="0055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right="97"/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8"/>
                <w:szCs w:val="18"/>
              </w:rPr>
              <w:t>Keywords</w:t>
            </w:r>
            <w:proofErr w:type="spellEnd"/>
          </w:p>
        </w:tc>
        <w:tc>
          <w:tcPr>
            <w:tcW w:w="8516" w:type="dxa"/>
            <w:gridSpan w:val="2"/>
          </w:tcPr>
          <w:p w14:paraId="4265640B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8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Equality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Affirmative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Action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Racial Quotas.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Democratic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Rule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Law</w:t>
            </w:r>
            <w:proofErr w:type="spell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Social Justice</w:t>
            </w:r>
            <w:proofErr w:type="gramEnd"/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.</w:t>
            </w:r>
          </w:p>
        </w:tc>
      </w:tr>
      <w:tr w:rsidR="00222253" w14:paraId="4265640F" w14:textId="77777777">
        <w:trPr>
          <w:trHeight w:val="244"/>
        </w:trPr>
        <w:tc>
          <w:tcPr>
            <w:tcW w:w="1704" w:type="dxa"/>
          </w:tcPr>
          <w:p w14:paraId="4265640D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516" w:type="dxa"/>
            <w:gridSpan w:val="2"/>
          </w:tcPr>
          <w:p w14:paraId="4265640E" w14:textId="77777777" w:rsidR="00222253" w:rsidRDefault="0022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222253" w14:paraId="42656413" w14:textId="77777777">
        <w:trPr>
          <w:trHeight w:val="510"/>
        </w:trPr>
        <w:tc>
          <w:tcPr>
            <w:tcW w:w="1704" w:type="dxa"/>
          </w:tcPr>
          <w:p w14:paraId="42656410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2656464" wp14:editId="42656465">
                  <wp:extent cx="833283" cy="320039"/>
                  <wp:effectExtent l="0" t="0" r="0" b="0"/>
                  <wp:docPr id="1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283" cy="3200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</w:tcPr>
          <w:p w14:paraId="42656411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526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Licença de Atribuição BY do Creative </w:t>
            </w:r>
            <w:proofErr w:type="spellStart"/>
            <w:r>
              <w:rPr>
                <w:color w:val="000000"/>
                <w:sz w:val="16"/>
                <w:szCs w:val="16"/>
              </w:rPr>
              <w:t>ommons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https://creativecommons.org/licenses/by/4.0/</w:t>
            </w:r>
          </w:p>
        </w:tc>
        <w:tc>
          <w:tcPr>
            <w:tcW w:w="2280" w:type="dxa"/>
          </w:tcPr>
          <w:p w14:paraId="42656412" w14:textId="77777777" w:rsidR="00222253" w:rsidRDefault="004851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84" w:firstLine="7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A6A6A6"/>
                <w:sz w:val="16"/>
                <w:szCs w:val="16"/>
              </w:rPr>
              <w:t xml:space="preserve">Aprovado em </w:t>
            </w:r>
            <w:proofErr w:type="gramStart"/>
            <w:r>
              <w:rPr>
                <w:rFonts w:ascii="Calibri" w:eastAsia="Calibri" w:hAnsi="Calibri" w:cs="Calibri"/>
                <w:color w:val="A6A6A6"/>
                <w:sz w:val="16"/>
                <w:szCs w:val="16"/>
              </w:rPr>
              <w:t>20/06/2026 Publicado</w:t>
            </w:r>
            <w:proofErr w:type="gramEnd"/>
            <w:r>
              <w:rPr>
                <w:rFonts w:ascii="Calibri" w:eastAsia="Calibri" w:hAnsi="Calibri" w:cs="Calibri"/>
                <w:color w:val="A6A6A6"/>
                <w:sz w:val="16"/>
                <w:szCs w:val="16"/>
              </w:rPr>
              <w:t xml:space="preserve"> em 30/08/2026</w:t>
            </w:r>
          </w:p>
        </w:tc>
      </w:tr>
    </w:tbl>
    <w:p w14:paraId="42656414" w14:textId="77777777" w:rsidR="00222253" w:rsidRDefault="00222253">
      <w:pPr>
        <w:rPr>
          <w:rFonts w:ascii="Calibri" w:eastAsia="Calibri" w:hAnsi="Calibri" w:cs="Calibri"/>
          <w:sz w:val="16"/>
          <w:szCs w:val="16"/>
        </w:rPr>
        <w:sectPr w:rsidR="00222253">
          <w:pgSz w:w="11910" w:h="16840"/>
          <w:pgMar w:top="760" w:right="840" w:bottom="280" w:left="620" w:header="720" w:footer="720" w:gutter="0"/>
          <w:pgNumType w:start="1"/>
          <w:cols w:space="720"/>
          <w:titlePg/>
        </w:sectPr>
      </w:pPr>
    </w:p>
    <w:p w14:paraId="42656415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656416" w14:textId="77777777" w:rsidR="00222253" w:rsidRDefault="004851CE">
      <w:pPr>
        <w:pStyle w:val="Ttulo1"/>
        <w:numPr>
          <w:ilvl w:val="0"/>
          <w:numId w:val="1"/>
        </w:numPr>
        <w:tabs>
          <w:tab w:val="left" w:pos="693"/>
        </w:tabs>
        <w:spacing w:before="90"/>
        <w:ind w:hanging="181"/>
      </w:pPr>
      <w:r>
        <w:t>INTRODUÇÃO</w:t>
      </w:r>
    </w:p>
    <w:p w14:paraId="42656417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before="137" w:line="360" w:lineRule="auto"/>
        <w:ind w:left="512" w:right="295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Constituição Federal de 1988 instituiu o Estado Democrático de Direito como pilar da organização político-jurídica brasileira, representando um marco histórico na promoção da justiça social e na efetivação dos direitos fundamentais. Os direitos sociais e os direitos fundamentais assumem, nesse contexto, papel central no texto constitucional, buscando garantir a todos os indivíduos condições minimamente dignas de existência, com destaque para o acesso à educação, à saúde, à moradia, ao trabalho e à segurança — direitos que somente se concretizam por meio da atuação prática do Estado.</w:t>
      </w:r>
    </w:p>
    <w:p w14:paraId="42656418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before="137" w:line="360" w:lineRule="auto"/>
        <w:ind w:left="512" w:right="295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ações afirmativas, em especial o sistema de cotas no ensino superior, surgiram como resposta jurídica à segregação e à exclusão que permeiam a formação histórica do país, promovendo a inclusão de grupos como pessoas pretas, indígenas, mulheres, pessoas com deficiência e pessoas em situação de vulnerabilidade econômica. Tais políticas buscam concretizar a igualdade material prevista na Constituição Federal, compreendida não como tratamento uniforme, mas como equidade — a adoção de medidas diferenciadas capazes de corrigir desigualdades históricas e assegurar condições reais de acesso a direitos.</w:t>
      </w:r>
    </w:p>
    <w:p w14:paraId="42656419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before="137" w:line="360" w:lineRule="auto"/>
        <w:ind w:left="512" w:right="295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artigo, derivado de trabalho de conclusão de curso apresentado ao Curso de Direito do Centro Universitário Geraldo </w:t>
      </w:r>
      <w:proofErr w:type="spellStart"/>
      <w:r>
        <w:rPr>
          <w:color w:val="000000"/>
          <w:sz w:val="24"/>
          <w:szCs w:val="24"/>
        </w:rPr>
        <w:t>Di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Biase</w:t>
      </w:r>
      <w:proofErr w:type="spellEnd"/>
      <w:r>
        <w:rPr>
          <w:color w:val="000000"/>
          <w:sz w:val="24"/>
          <w:szCs w:val="24"/>
        </w:rPr>
        <w:t xml:space="preserve"> (UGB), sob orientação da Profa. Regina </w:t>
      </w:r>
      <w:proofErr w:type="spellStart"/>
      <w:r>
        <w:rPr>
          <w:color w:val="000000"/>
          <w:sz w:val="24"/>
          <w:szCs w:val="24"/>
        </w:rPr>
        <w:t>Coeli</w:t>
      </w:r>
      <w:proofErr w:type="spellEnd"/>
      <w:r>
        <w:rPr>
          <w:color w:val="000000"/>
          <w:sz w:val="24"/>
          <w:szCs w:val="24"/>
        </w:rPr>
        <w:t xml:space="preserve"> Silveira, tem como objetivo analisar a relação entre o Estado Democrático de Direito, os direitos sociais e as ações afirmativas, com foco nas políticas de cotas raciais e sociais. A problemática central consiste em investigar em que medida o sistema de cotas contribui para a efetivação dos direitos sociais no Brasil, partindo da hipótese de que as cotas constituem instrumentos legítimos de justiça social — hipótese examinada também à luz da jurisprudência do Supremo Tribunal Federal e do Superior Tribunal de Justiça.</w:t>
      </w:r>
    </w:p>
    <w:p w14:paraId="4265641A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4265641B" w14:textId="77777777" w:rsidR="00222253" w:rsidRDefault="004851CE">
      <w:pPr>
        <w:pStyle w:val="Ttulo1"/>
        <w:numPr>
          <w:ilvl w:val="0"/>
          <w:numId w:val="1"/>
        </w:numPr>
        <w:tabs>
          <w:tab w:val="left" w:pos="693"/>
        </w:tabs>
        <w:ind w:hanging="181"/>
      </w:pPr>
      <w:r>
        <w:t>ESTADO DEMOCRÁTICO DE DIREITO, RACISMO ESTRUTURAL E AÇÕES AFIRMATIVAS</w:t>
      </w:r>
    </w:p>
    <w:p w14:paraId="4265641C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6"/>
          <w:szCs w:val="26"/>
        </w:rPr>
      </w:pPr>
    </w:p>
    <w:p w14:paraId="4265641D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</w:rPr>
      </w:pPr>
    </w:p>
    <w:p w14:paraId="4265641E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Estado Democrático de Direito é o modelo estatal em que a lei existe para garantir justiça, liberdade e igualdade a todos, exigindo que o poder público atue dentro dos limites constitucionais e, ao mesmo tempo, promova condições reais para que os direitos fundamentais sejam vividos na prática. No Brasil, esse conceito ganhou força com a Constituição de 1988, que marcou a transição do autoritarismo para um Estado voltado à participação social, ao respeito à diversidade e à valorização da dignidade humana, comprometendo-se a reduzir desigualdades e promover a inclusão de grupos historicamente marginalizados (GARCIA; ALGEBAILE, 2024).</w:t>
      </w:r>
    </w:p>
    <w:p w14:paraId="4265641F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racismo estrutural manifesta-se de forma silenciosa e contínua nas práticas institucionais e nos costumes que, ao longo da história, consolidaram privilégios para determinados grupos raciais e </w:t>
      </w:r>
      <w:r>
        <w:rPr>
          <w:color w:val="000000"/>
          <w:sz w:val="24"/>
          <w:szCs w:val="24"/>
        </w:rPr>
        <w:lastRenderedPageBreak/>
        <w:t>exclusão para outros. No caso brasileiro, esse fenômeno tem origem no longo período escravocrata e na ausência de políticas reparatórias após a abolição, fazendo com que a população negra permaneça em posição de desvantagem, sobretudo no acesso à educação de qualidade (CHAGAS, 2025). É nesse cenário que as políticas de cotas raciais surgem como instrumento voltado a corrigir parte dessas distorções estruturais, não como privilégio, mas como mecanismo de justiça social.</w:t>
      </w:r>
    </w:p>
    <w:p w14:paraId="42656420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direitos sociais, previstos no artigo 6º da Constituição Federal, integram os direitos fundamentais de segunda geração e demandam prestações positivas do Estado para a garantia de um mínimo existencial — patamar mínimo de saúde, moradia, alimentação, educação e acesso à justiça, judicialmente exigível (CORDEIRO, 2011). Vinculados à dignidade da pessoa humana, tais direitos não se esgotam em normas programáticas; possuem densidade normativa suficiente para fundamentar sua exigibilidade, o que reforça a legitimidade das políticas de cotas como instrumento de concretização da igualdade material.</w:t>
      </w:r>
    </w:p>
    <w:p w14:paraId="42656421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constitucionalidade das cotas raciais foi consolidada pelo Supremo Tribunal Federal no julgamento da ADPF nº 186, que reconheceu a compatibilidade do sistema de cotas com a Constituição Federal, por promover a igualdade material e corrigir distorções historicamente consolidadas pela discriminação e pela exclusão social (BRASIL, 2012). Como destacou o ministro Gilmar Mendes, pensar a igualdade sob o valor da fraternidade significa reconhecer as diferenças e assegurar respeito às minorias em uma sociedade plural (BRASIL, 2009).</w:t>
      </w:r>
    </w:p>
    <w:p w14:paraId="42656422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</w:p>
    <w:p w14:paraId="42656423" w14:textId="77777777" w:rsidR="00222253" w:rsidRDefault="004851CE">
      <w:pPr>
        <w:pStyle w:val="Ttulo1"/>
        <w:numPr>
          <w:ilvl w:val="0"/>
          <w:numId w:val="1"/>
        </w:numPr>
        <w:tabs>
          <w:tab w:val="left" w:pos="693"/>
        </w:tabs>
        <w:ind w:hanging="181"/>
      </w:pPr>
      <w:r>
        <w:t xml:space="preserve">ANÁLISE JURISPRUDENCIAL: O CASO </w:t>
      </w:r>
      <w:proofErr w:type="spellStart"/>
      <w:r>
        <w:t>AgInt</w:t>
      </w:r>
      <w:proofErr w:type="spellEnd"/>
      <w:r>
        <w:t xml:space="preserve"> NO RESP Nº 2.088.397/PB (STJ, 2024)</w:t>
      </w:r>
    </w:p>
    <w:p w14:paraId="42656424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</w:p>
    <w:p w14:paraId="42656425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contraponto ao entendimento consolidado pelo STF, o Superior Tribunal de Justiça, ao julgar o </w:t>
      </w:r>
      <w:proofErr w:type="spellStart"/>
      <w:r>
        <w:rPr>
          <w:color w:val="000000"/>
          <w:sz w:val="24"/>
          <w:szCs w:val="24"/>
        </w:rPr>
        <w:t>AgInt</w:t>
      </w:r>
      <w:proofErr w:type="spellEnd"/>
      <w:r>
        <w:rPr>
          <w:color w:val="000000"/>
          <w:sz w:val="24"/>
          <w:szCs w:val="24"/>
        </w:rPr>
        <w:t xml:space="preserve"> no Recurso Especial nº 2.088.397/PB, adotou interpretação restritiva do artigo 4º da Lei nº 12.711/2012 em ação que discutia a utilização do sistema de cotas por candidato que, embora tivesse cursado o ensino médio em escola pública há quase quatro décadas, já possuía duas graduações, mestrado, doutorado e pós-doutorado. O Tribunal manteve o entendimento de que a norma deve ser aplicada conforme sua literalidade, sem exceções relacionadas a idade, tempo de conclusão dos estudos ou formação prévia (BRASIL, 2024).</w:t>
      </w:r>
    </w:p>
    <w:p w14:paraId="42656426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Sob a ótica constitucional, contudo, a decisão revela uma tensão entre a aplicação técnica do Direito e o espírito transformador da política de cotas. Interpretar a Lei nº 12.711/2012 de forma teleológica — isto é, à luz de sua finalidade social e constitucional — reforça o papel das cotas como instrumento de democratização do ensino superior e de efetivação dos direitos fundamentais, evidenciando que a eficácia das políticas afirmativas depende, em grande medida, da sensibilidade do Poder Judiciário aos valores que as fundamentam.</w:t>
      </w:r>
    </w:p>
    <w:p w14:paraId="42656427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42656428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42656429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65642A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65642B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65642C" w14:textId="77777777" w:rsidR="00222253" w:rsidRDefault="004851CE">
      <w:pPr>
        <w:pStyle w:val="Ttulo1"/>
        <w:numPr>
          <w:ilvl w:val="0"/>
          <w:numId w:val="1"/>
        </w:numPr>
        <w:tabs>
          <w:tab w:val="left" w:pos="693"/>
        </w:tabs>
        <w:ind w:hanging="181"/>
      </w:pPr>
      <w:r>
        <w:t>METODOLOGIA UTILIZADA NA PESQUISA</w:t>
      </w:r>
    </w:p>
    <w:p w14:paraId="4265642D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265642E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pesquisa adotou abordagem qualitativa, de natureza bibliográfica e documental, fundamentada na análise da Constituição Federal de 1988, da legislação infraconstitucional pertinente (Lei nº 12.711/2012, Lei nº 11.096/2005, Decreto nº 11.016/2022) e de doutrina especializada em direito constitucional, direitos fundamentais e ações afirmativas.</w:t>
      </w:r>
    </w:p>
    <w:p w14:paraId="4265642F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12" w:right="30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Complementarmente, foi realizada análise jurisprudencial de dois julgados centrais para o tema — a ADPF nº 186 do Supremo Tribunal Federal e o </w:t>
      </w:r>
      <w:proofErr w:type="spellStart"/>
      <w:r>
        <w:rPr>
          <w:color w:val="000000"/>
          <w:sz w:val="24"/>
          <w:szCs w:val="24"/>
        </w:rPr>
        <w:t>AgInt</w:t>
      </w:r>
      <w:proofErr w:type="spellEnd"/>
      <w:r>
        <w:rPr>
          <w:color w:val="000000"/>
          <w:sz w:val="24"/>
          <w:szCs w:val="24"/>
        </w:rPr>
        <w:t xml:space="preserve"> no </w:t>
      </w:r>
      <w:proofErr w:type="spellStart"/>
      <w:r>
        <w:rPr>
          <w:color w:val="000000"/>
          <w:sz w:val="24"/>
          <w:szCs w:val="24"/>
        </w:rPr>
        <w:t>REsp</w:t>
      </w:r>
      <w:proofErr w:type="spellEnd"/>
      <w:r>
        <w:rPr>
          <w:color w:val="000000"/>
          <w:sz w:val="24"/>
          <w:szCs w:val="24"/>
        </w:rPr>
        <w:t xml:space="preserve"> nº 2.088.397/PB do Superior Tribunal de Justiça —, com o objetivo de contrastar interpretações judiciais divergentes sobre o alcance e os limites do sistema de cotas, à luz dos princípios constitucionais da igualdade material e da dignidade da pessoa humana.</w:t>
      </w:r>
    </w:p>
    <w:p w14:paraId="42656430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42656431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656432" w14:textId="77777777" w:rsidR="00222253" w:rsidRDefault="004851CE">
      <w:pPr>
        <w:pStyle w:val="Ttulo1"/>
        <w:numPr>
          <w:ilvl w:val="0"/>
          <w:numId w:val="1"/>
        </w:numPr>
        <w:tabs>
          <w:tab w:val="left" w:pos="284"/>
        </w:tabs>
        <w:ind w:left="567" w:firstLine="17"/>
      </w:pPr>
      <w:r>
        <w:t xml:space="preserve"> RESULTADOS</w:t>
      </w:r>
    </w:p>
    <w:p w14:paraId="42656433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67"/>
        <w:rPr>
          <w:b/>
          <w:bCs/>
          <w:color w:val="000000"/>
        </w:rPr>
      </w:pPr>
    </w:p>
    <w:p w14:paraId="42656434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análise evidenciou que o sistema de cotas no ensino superior brasileiro constitui instrumento legítimo de concretização dos direitos fundamentais e de fortalecimento do Estado Democrático de Direito, configurando resposta legislativa a uma desigualdade histórica e estruturante da sociedade brasileira. A jurisprudência do Supremo Tribunal Federal, consolidada na ADPF nº 186, confirma essa legitimidade ao reconhecer que as cotas promovem a igualdade material e corrigem distorções historicamente consolidadas.</w:t>
      </w:r>
    </w:p>
    <w:p w14:paraId="42656435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Por outro lado, a análise do </w:t>
      </w:r>
      <w:proofErr w:type="spellStart"/>
      <w:r>
        <w:rPr>
          <w:color w:val="000000"/>
          <w:sz w:val="24"/>
          <w:szCs w:val="24"/>
        </w:rPr>
        <w:t>AgInt</w:t>
      </w:r>
      <w:proofErr w:type="spellEnd"/>
      <w:r>
        <w:rPr>
          <w:color w:val="000000"/>
          <w:sz w:val="24"/>
          <w:szCs w:val="24"/>
        </w:rPr>
        <w:t xml:space="preserve"> no </w:t>
      </w:r>
      <w:proofErr w:type="spellStart"/>
      <w:r>
        <w:rPr>
          <w:color w:val="000000"/>
          <w:sz w:val="24"/>
          <w:szCs w:val="24"/>
        </w:rPr>
        <w:t>REsp</w:t>
      </w:r>
      <w:proofErr w:type="spellEnd"/>
      <w:r>
        <w:rPr>
          <w:color w:val="000000"/>
          <w:sz w:val="24"/>
          <w:szCs w:val="24"/>
        </w:rPr>
        <w:t xml:space="preserve"> nº 2.088.397/PB revelou que a aplicação estritamente literal da Lei nº 12.711/2012 pelo Superior Tribunal de Justiça, embora tecnicamente correta, pode esvaziar o </w:t>
      </w:r>
      <w:proofErr w:type="spellStart"/>
      <w:r>
        <w:rPr>
          <w:color w:val="000000"/>
          <w:sz w:val="24"/>
          <w:szCs w:val="24"/>
        </w:rPr>
        <w:t>caráter</w:t>
      </w:r>
      <w:proofErr w:type="spellEnd"/>
      <w:r>
        <w:rPr>
          <w:color w:val="000000"/>
          <w:sz w:val="24"/>
          <w:szCs w:val="24"/>
        </w:rPr>
        <w:t xml:space="preserve"> transformador da política de cotas quando desconsidera o contexto social que a fundamenta. Esse achado reforça a necessidade de uma interpretação teleológica das normas de ação afirmativa, capaz de conciliar segurança jurídica e efetividade social.</w:t>
      </w:r>
    </w:p>
    <w:p w14:paraId="42656436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Conclui-se que as cotas raciais e sociais não configuram privilégio, mas reparação histórica e instrumento de justiça distributiva, cuja manutenção e aperfeiçoamento são indispensáveis ao fortalecimento da democracia brasileira. A efetividade dessas políticas depende tanto da atuação do Poder Legislativo na consolidação do arcabouço normativo quanto da sensibilidade do Poder Judiciário para interpretar essas normas à luz dos valores constitucionais de igualdade e dignidade da pessoa humana.</w:t>
      </w:r>
    </w:p>
    <w:p w14:paraId="42656437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firstLine="709"/>
        <w:jc w:val="both"/>
        <w:rPr>
          <w:color w:val="000000"/>
          <w:sz w:val="24"/>
          <w:szCs w:val="24"/>
        </w:rPr>
      </w:pPr>
    </w:p>
    <w:p w14:paraId="42656438" w14:textId="77777777" w:rsidR="00222253" w:rsidRDefault="004851CE">
      <w:pPr>
        <w:pStyle w:val="Ttulo1"/>
        <w:ind w:firstLine="512"/>
      </w:pPr>
      <w:r>
        <w:t>REFERÊNCIAS</w:t>
      </w:r>
    </w:p>
    <w:p w14:paraId="42656439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36"/>
          <w:szCs w:val="36"/>
        </w:rPr>
      </w:pPr>
    </w:p>
    <w:p w14:paraId="4265643A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BARBOSA, O. P. A.; SARACHO, A. B. </w:t>
      </w:r>
      <w:r>
        <w:rPr>
          <w:b/>
          <w:bCs/>
          <w:color w:val="000000"/>
          <w:sz w:val="24"/>
          <w:szCs w:val="24"/>
        </w:rPr>
        <w:t>Estado Democrático de Direito: superação do Estado Liberal e do Estado Social.</w:t>
      </w:r>
      <w:r>
        <w:rPr>
          <w:color w:val="000000"/>
          <w:sz w:val="24"/>
          <w:szCs w:val="24"/>
        </w:rPr>
        <w:t xml:space="preserve"> Distrito Federal, DF: Tribunal de Justiça do Distrito Federal e dos Territórios, 2018. Disponível em: https://www.tjdft.jus.br/institucional/imprensa/campanhas-e-produtos/artigos-discursos-e-entrevistas/artigos/2018/estado-democratico-de-direito-superacao-do-estado-liberal-e-do-estado-social-juiza-oriana-piske. Acesso em: 11 abr. 2015.</w:t>
      </w:r>
    </w:p>
    <w:p w14:paraId="4265643B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3C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BELLUZZO, M. L.; CARRENHO, A. C. B. P. Atuação estatal e direitos fundamentais no Brasil: funções e desafios. </w:t>
      </w:r>
      <w:proofErr w:type="spellStart"/>
      <w:r>
        <w:rPr>
          <w:b/>
          <w:bCs/>
          <w:color w:val="000000"/>
          <w:sz w:val="24"/>
          <w:szCs w:val="24"/>
        </w:rPr>
        <w:t>LawReview</w:t>
      </w:r>
      <w:proofErr w:type="spellEnd"/>
      <w:r>
        <w:rPr>
          <w:color w:val="000000"/>
          <w:sz w:val="24"/>
          <w:szCs w:val="24"/>
        </w:rPr>
        <w:t>, Brasília, v. 7, n. 2, 2021. Disponível em: https://www.portaldeperiodicos.idp.edu.br/lawreview/article/view/5384/2079. Acesso em: 11 nov. 2025.</w:t>
      </w:r>
    </w:p>
    <w:p w14:paraId="4265643D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3E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BITTAR, E. C. B. A situação atual dos direitos humanos: entre destroços e esperanças no Brasil. </w:t>
      </w:r>
      <w:r>
        <w:rPr>
          <w:b/>
          <w:bCs/>
          <w:color w:val="000000"/>
          <w:sz w:val="24"/>
          <w:szCs w:val="24"/>
        </w:rPr>
        <w:t>Revista Direito Público</w:t>
      </w:r>
      <w:r>
        <w:rPr>
          <w:color w:val="000000"/>
          <w:sz w:val="24"/>
          <w:szCs w:val="24"/>
        </w:rPr>
        <w:t>, Brasília, v. 21, n. 3, 2024. Disponível em: https://www.scielo.br/j/rdp/a/c9ZXdjKGRh3NscwvDQPKMqJ/?lang=pt. Acesso em: 9 nov. 2025.</w:t>
      </w:r>
    </w:p>
    <w:p w14:paraId="4265643F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0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</w:t>
      </w:r>
      <w:r>
        <w:rPr>
          <w:b/>
          <w:bCs/>
          <w:color w:val="000000"/>
          <w:sz w:val="24"/>
          <w:szCs w:val="24"/>
        </w:rPr>
        <w:t>Constituição da República Federativa do Brasil</w:t>
      </w:r>
      <w:r>
        <w:rPr>
          <w:color w:val="000000"/>
          <w:sz w:val="24"/>
          <w:szCs w:val="24"/>
        </w:rPr>
        <w:t>, promulgada em 5 de outubro de 1988. Brasília, DF, out. 1988. Disponível em: https://www.planalto.gov.br/ccivil_03/Constituicao/Constituicao.htm. Acesso em: 15 nov. 2025.</w:t>
      </w:r>
    </w:p>
    <w:p w14:paraId="42656441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2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</w:t>
      </w:r>
      <w:r>
        <w:rPr>
          <w:b/>
          <w:bCs/>
          <w:color w:val="000000"/>
          <w:sz w:val="24"/>
          <w:szCs w:val="24"/>
        </w:rPr>
        <w:t>Decreto nº 11.016, de 29 de março de 2022.</w:t>
      </w:r>
      <w:r>
        <w:rPr>
          <w:color w:val="000000"/>
          <w:sz w:val="24"/>
          <w:szCs w:val="24"/>
        </w:rPr>
        <w:t xml:space="preserve"> Regulamenta o Cadastro Único para Programas Sociais do Governo Federal. Disponível em: https://www.planalto.gov.br/ccivil_03/_ato2019-2022/2022/decreto/d11016.htm. Acesso em: 20 nov. 2025.</w:t>
      </w:r>
    </w:p>
    <w:p w14:paraId="42656443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4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</w:t>
      </w:r>
      <w:r>
        <w:rPr>
          <w:b/>
          <w:bCs/>
          <w:color w:val="000000"/>
          <w:sz w:val="24"/>
          <w:szCs w:val="24"/>
        </w:rPr>
        <w:t>Lei nº 11.096, de 13 de janeiro de 2005.</w:t>
      </w:r>
      <w:r>
        <w:rPr>
          <w:color w:val="000000"/>
          <w:sz w:val="24"/>
          <w:szCs w:val="24"/>
        </w:rPr>
        <w:t xml:space="preserve"> Institui o Programa Universidade para Todos - PROUNI. Disponível em: https://www.planalto.gov.br/ccivil_03/_ato2004-2006/2005/lei/l11096.htm. Acesso em: 20 nov. 2025.</w:t>
      </w:r>
    </w:p>
    <w:p w14:paraId="42656445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6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</w:t>
      </w:r>
      <w:r>
        <w:rPr>
          <w:b/>
          <w:bCs/>
          <w:color w:val="000000"/>
          <w:sz w:val="24"/>
          <w:szCs w:val="24"/>
        </w:rPr>
        <w:t>Lei nº 12.711, de 29 de agosto de 2012.</w:t>
      </w:r>
      <w:r>
        <w:rPr>
          <w:color w:val="000000"/>
          <w:sz w:val="24"/>
          <w:szCs w:val="24"/>
        </w:rPr>
        <w:t xml:space="preserve"> Dispõe sobre o ingresso nas universidades federais e nas instituições federais de ensino técnico de nível médio e dá outras providências. Disponível em: https://www.planalto.gov.br/ccivil_03/_ato2011-2014/2012/lei/l12711.htm. Acesso em: 20 nov. 2025.</w:t>
      </w:r>
    </w:p>
    <w:p w14:paraId="42656447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8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Ministério da Educação. </w:t>
      </w:r>
      <w:r>
        <w:rPr>
          <w:b/>
          <w:bCs/>
          <w:color w:val="000000"/>
          <w:sz w:val="24"/>
          <w:szCs w:val="24"/>
        </w:rPr>
        <w:t>Fundo de Financiamento Estudantil.</w:t>
      </w:r>
      <w:r>
        <w:rPr>
          <w:color w:val="000000"/>
          <w:sz w:val="24"/>
          <w:szCs w:val="24"/>
        </w:rPr>
        <w:t xml:space="preserve"> Disponível em: https://www.gov.br/mec/pt-br/fies. Acesso em: 20 nov. 2025.</w:t>
      </w:r>
    </w:p>
    <w:p w14:paraId="42656449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A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Ministério da Educação. </w:t>
      </w:r>
      <w:r>
        <w:rPr>
          <w:b/>
          <w:bCs/>
          <w:color w:val="000000"/>
          <w:sz w:val="24"/>
          <w:szCs w:val="24"/>
        </w:rPr>
        <w:t>Os direitos humanos nas diferentes dimensões da vida social.</w:t>
      </w:r>
      <w:r>
        <w:rPr>
          <w:color w:val="000000"/>
          <w:sz w:val="24"/>
          <w:szCs w:val="24"/>
        </w:rPr>
        <w:t xml:space="preserve"> Brasília, DF, 2025. Disponível em: https://www.gov.br/mec/pt-br/pacto-eja/direitos-humanos-1.pdf. Acesso em: 9 nov. 2025.</w:t>
      </w:r>
    </w:p>
    <w:p w14:paraId="4265644B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C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Superior Tribunal de Justiça. </w:t>
      </w:r>
      <w:proofErr w:type="spellStart"/>
      <w:r>
        <w:rPr>
          <w:b/>
          <w:bCs/>
          <w:color w:val="000000"/>
          <w:sz w:val="24"/>
          <w:szCs w:val="24"/>
        </w:rPr>
        <w:t>AgInt</w:t>
      </w:r>
      <w:proofErr w:type="spellEnd"/>
      <w:r>
        <w:rPr>
          <w:b/>
          <w:bCs/>
          <w:color w:val="000000"/>
          <w:sz w:val="24"/>
          <w:szCs w:val="24"/>
        </w:rPr>
        <w:t xml:space="preserve"> no Recurso Especial nº 2.088.397 - PB (2023/0266443-3).</w:t>
      </w:r>
      <w:r>
        <w:rPr>
          <w:color w:val="000000"/>
          <w:sz w:val="24"/>
          <w:szCs w:val="24"/>
        </w:rPr>
        <w:t xml:space="preserve"> Brasília, DF, 2024. Disponível em: https://processo.stj.jus.br/processo/julgamento/eletronico/documento/mediado/. Acesso em: 20 nov. 2025.</w:t>
      </w:r>
    </w:p>
    <w:p w14:paraId="4265644D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4E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BRASIL. Supremo Tribunal Federal. </w:t>
      </w:r>
      <w:r>
        <w:rPr>
          <w:b/>
          <w:bCs/>
          <w:color w:val="000000"/>
          <w:sz w:val="24"/>
          <w:szCs w:val="24"/>
        </w:rPr>
        <w:t>ADPF 186.</w:t>
      </w:r>
      <w:r>
        <w:rPr>
          <w:color w:val="000000"/>
          <w:sz w:val="24"/>
          <w:szCs w:val="24"/>
        </w:rPr>
        <w:t xml:space="preserve"> Brasília, DF, 2012. Disponível em: https://jurisprudencia.stf.jus.br/pages/search/sjur281203/false. Acesso em: 9 nov. 2025.</w:t>
      </w:r>
    </w:p>
    <w:p w14:paraId="4265644F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0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BUCCI, M. P. D. As ações afirmativas no Supremo Tribunal Federal: conexões entre direito e política na difícil promoção da equidade racial no Brasil. </w:t>
      </w:r>
      <w:r>
        <w:rPr>
          <w:b/>
          <w:bCs/>
          <w:color w:val="000000"/>
          <w:sz w:val="24"/>
          <w:szCs w:val="24"/>
        </w:rPr>
        <w:t>Revista A &amp; C - Revista de Direito Administrativo e Constitucional</w:t>
      </w:r>
      <w:r>
        <w:rPr>
          <w:color w:val="000000"/>
          <w:sz w:val="24"/>
          <w:szCs w:val="24"/>
        </w:rPr>
        <w:t>, São Paulo, v. 21, n. 83, jan./mar. 2021. Disponível em: https://revistaaec.com/index.php/revistaaec/article/view/1514. Acesso em: 9 nov. 2025.</w:t>
      </w:r>
    </w:p>
    <w:p w14:paraId="42656451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2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CHAGAS, L. M.; ALMEIDA, E. R.; SILVEIRA, M. R. Racismo estrutural no Brasil e o papel das políticas de ação afirmativa: uma análise ontológica e histórica. </w:t>
      </w:r>
      <w:r>
        <w:rPr>
          <w:b/>
          <w:bCs/>
          <w:color w:val="000000"/>
          <w:sz w:val="24"/>
          <w:szCs w:val="24"/>
        </w:rPr>
        <w:t>Revista de Caderno Pedagógico</w:t>
      </w:r>
      <w:r>
        <w:rPr>
          <w:color w:val="000000"/>
          <w:sz w:val="24"/>
          <w:szCs w:val="24"/>
        </w:rPr>
        <w:t>, Curitiba, v. 22, n. 9, 2025. Disponível em: https://ojs.studiespublicacoes.com.br/ojs/index.php/cadped/article/view/18026. Acesso em: 9 nov. 2025.</w:t>
      </w:r>
    </w:p>
    <w:p w14:paraId="42656453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4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5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CORDEIRO, K. S. </w:t>
      </w:r>
      <w:r>
        <w:rPr>
          <w:b/>
          <w:bCs/>
          <w:color w:val="000000"/>
          <w:sz w:val="24"/>
          <w:szCs w:val="24"/>
        </w:rPr>
        <w:t>Direitos fundamentais sociais, dignidade da pessoa humana e mínimo existencial: o papel do poder judiciário na sua efetivação.</w:t>
      </w:r>
      <w:r>
        <w:rPr>
          <w:color w:val="000000"/>
          <w:sz w:val="24"/>
          <w:szCs w:val="24"/>
        </w:rPr>
        <w:t xml:space="preserve"> Dissertação de mestrado. Porto Alegre, RS, 2011. Disponível em: https://repositorio.pucrs.br/dspace/bitstream/10923/2480/1/000434376-Texto%2bParcial-0.pdf. Acesso em: 20 nov. 2025.</w:t>
      </w:r>
    </w:p>
    <w:p w14:paraId="42656456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7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GARCIA, L. T. S.; ALGEBAILE, E. B. Estado democrático de direito, políticas de avaliação e educação pública no Brasil. Rio de Janeiro, RJ, 2024. Disponível em: https://www.scielo.br/j/ensaio/a/kc6rwQ7GxbNYLRHnZxR8LYd/. Acesso em: 9 nov. 2025.</w:t>
      </w:r>
    </w:p>
    <w:p w14:paraId="42656458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9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MACHADO, A. C. G.; AZEVEDO, T. I. M. </w:t>
      </w:r>
      <w:r>
        <w:rPr>
          <w:b/>
          <w:bCs/>
          <w:color w:val="000000"/>
          <w:sz w:val="24"/>
          <w:szCs w:val="24"/>
        </w:rPr>
        <w:t>Cotas raciais: impactos e desafios.</w:t>
      </w:r>
      <w:r>
        <w:rPr>
          <w:color w:val="000000"/>
          <w:sz w:val="24"/>
          <w:szCs w:val="24"/>
        </w:rPr>
        <w:t xml:space="preserve"> Congresso Nacional dos Procuradores dos Estados e do Distrito Federal. Brasília, DF: ANAPE, 2024. </w:t>
      </w:r>
    </w:p>
    <w:p w14:paraId="4265645A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B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Disponível em: https://anape.org.br/media/com_submissoes/files/Cotas---Impactos-e-Desafios-20240916-120304.pdf. Acesso em: 9 nov. 2025.</w:t>
      </w:r>
    </w:p>
    <w:p w14:paraId="4265645C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D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SILVA, E. M. O Estado Democrático de Direito. </w:t>
      </w:r>
      <w:r>
        <w:rPr>
          <w:b/>
          <w:bCs/>
          <w:color w:val="000000"/>
          <w:sz w:val="24"/>
          <w:szCs w:val="24"/>
        </w:rPr>
        <w:t>Revista de Informação Legislativa</w:t>
      </w:r>
      <w:r>
        <w:rPr>
          <w:color w:val="000000"/>
          <w:sz w:val="24"/>
          <w:szCs w:val="24"/>
        </w:rPr>
        <w:t>, Brasília, v. 42, n. 167, jul./set. 2005. Disponível em: https://www2.senado.leg.br/bdsf/item/id/794. Acesso em: 9 nov. 2025.</w:t>
      </w:r>
    </w:p>
    <w:p w14:paraId="4265645E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5F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ZEIDAN, R.; ALMEIDA, S. L.; BÓ, I.; LEWIS Jr., N. Racial </w:t>
      </w:r>
      <w:proofErr w:type="spellStart"/>
      <w:r>
        <w:rPr>
          <w:color w:val="000000"/>
          <w:sz w:val="24"/>
          <w:szCs w:val="24"/>
        </w:rPr>
        <w:t>and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income-based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affirmative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action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higher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education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admissions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lessons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from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the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Brazilian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experience</w:t>
      </w:r>
      <w:proofErr w:type="spellEnd"/>
      <w:r>
        <w:rPr>
          <w:color w:val="000000"/>
          <w:sz w:val="24"/>
          <w:szCs w:val="24"/>
        </w:rPr>
        <w:t xml:space="preserve">. Cornell </w:t>
      </w:r>
      <w:proofErr w:type="spellStart"/>
      <w:r>
        <w:rPr>
          <w:color w:val="000000"/>
          <w:sz w:val="24"/>
          <w:szCs w:val="24"/>
        </w:rPr>
        <w:t>University</w:t>
      </w:r>
      <w:proofErr w:type="spellEnd"/>
      <w:r>
        <w:rPr>
          <w:color w:val="000000"/>
          <w:sz w:val="24"/>
          <w:szCs w:val="24"/>
        </w:rPr>
        <w:t>, 2023. Disponível em: https://arxiv.org/abs/2304.13936. Acesso em: 20 nov. 2025.</w:t>
      </w:r>
    </w:p>
    <w:p w14:paraId="42656460" w14:textId="77777777" w:rsidR="00222253" w:rsidRDefault="00222253">
      <w:pPr>
        <w:pBdr>
          <w:top w:val="nil"/>
          <w:left w:val="nil"/>
          <w:bottom w:val="nil"/>
          <w:right w:val="nil"/>
          <w:between w:val="nil"/>
        </w:pBdr>
        <w:ind w:left="512" w:right="373"/>
        <w:rPr>
          <w:color w:val="000000"/>
          <w:sz w:val="24"/>
          <w:szCs w:val="24"/>
        </w:rPr>
      </w:pPr>
    </w:p>
    <w:p w14:paraId="42656461" w14:textId="77777777" w:rsidR="00222253" w:rsidRDefault="004851CE">
      <w:pPr>
        <w:pBdr>
          <w:top w:val="nil"/>
          <w:left w:val="nil"/>
          <w:bottom w:val="nil"/>
          <w:right w:val="nil"/>
          <w:between w:val="nil"/>
        </w:pBdr>
        <w:ind w:left="512" w:right="373"/>
      </w:pPr>
      <w:r>
        <w:rPr>
          <w:color w:val="000000"/>
          <w:sz w:val="24"/>
          <w:szCs w:val="24"/>
        </w:rPr>
        <w:t xml:space="preserve">ZORZI, L. S. C. Direitos fundamentais no Brasil e o processo evolutivo. </w:t>
      </w:r>
      <w:proofErr w:type="spellStart"/>
      <w:r>
        <w:rPr>
          <w:b/>
          <w:bCs/>
          <w:color w:val="000000"/>
          <w:sz w:val="24"/>
          <w:szCs w:val="24"/>
        </w:rPr>
        <w:t>Brazilian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Applied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Science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Review</w:t>
      </w:r>
      <w:proofErr w:type="spellEnd"/>
      <w:r>
        <w:rPr>
          <w:color w:val="000000"/>
          <w:sz w:val="24"/>
          <w:szCs w:val="24"/>
        </w:rPr>
        <w:t>, 2023. Disponível em: https://ojs.brazilianjournals.com.br/ojs/index.php/BASR/article/download/62086/44694. Acesso em: 9 nov. 2025.</w:t>
      </w:r>
    </w:p>
    <w:sectPr w:rsidR="00222253" w:rsidSect="00EB07A2">
      <w:headerReference w:type="default" r:id="rId9"/>
      <w:footerReference w:type="default" r:id="rId10"/>
      <w:pgSz w:w="11910" w:h="16840"/>
      <w:pgMar w:top="820" w:right="840" w:bottom="760" w:left="620" w:header="554" w:footer="663" w:gutter="0"/>
      <w:pgNumType w:start="26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384D4" w14:textId="77777777" w:rsidR="00AE1BC6" w:rsidRDefault="00AE1BC6">
      <w:r>
        <w:separator/>
      </w:r>
    </w:p>
  </w:endnote>
  <w:endnote w:type="continuationSeparator" w:id="0">
    <w:p w14:paraId="5617AD2C" w14:textId="77777777" w:rsidR="00AE1BC6" w:rsidRDefault="00AE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A1A5A65-1AA6-4100-BA1D-CF54141C9570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9CFC3083-F611-4A6F-B93B-FC73BE1A9E33}"/>
    <w:embedBold r:id="rId3" w:fontKey="{43FEB63F-C018-4BFB-A418-5ABA9FB5BB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365B2F0-394A-4DA6-A151-73C70742620A}"/>
    <w:embedBold r:id="rId5" w:fontKey="{50DA0297-50A7-4F19-B7E2-0BBE57D3DC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5C58C36-1750-4796-B0E8-39193F1EA7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6467" w14:textId="793C1F8F" w:rsidR="00222253" w:rsidRDefault="00EB07A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293A371" wp14:editId="31369276">
              <wp:simplePos x="0" y="0"/>
              <wp:positionH relativeFrom="page">
                <wp:posOffset>6633210</wp:posOffset>
              </wp:positionH>
              <wp:positionV relativeFrom="page">
                <wp:posOffset>10323195</wp:posOffset>
              </wp:positionV>
              <wp:extent cx="273059" cy="151130"/>
              <wp:effectExtent l="0" t="0" r="12700" b="1270"/>
              <wp:wrapNone/>
              <wp:docPr id="93677262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9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C87778" w14:textId="77777777" w:rsidR="00EB07A2" w:rsidRDefault="00EB07A2" w:rsidP="00EB07A2">
                          <w:pPr>
                            <w:spacing w:line="203" w:lineRule="exact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3A3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2.3pt;margin-top:812.85pt;width:21.5pt;height:11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" filled="f" stroked="f">
              <v:textbox inset="0,0,0,0">
                <w:txbxContent>
                  <w:p w14:paraId="02C87778" w14:textId="77777777" w:rsidR="00EB07A2" w:rsidRDefault="00EB07A2" w:rsidP="00EB07A2">
                    <w:pPr>
                      <w:spacing w:line="203" w:lineRule="exact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4E9512F2" wp14:editId="656D3BDB">
              <wp:simplePos x="0" y="0"/>
              <wp:positionH relativeFrom="page">
                <wp:posOffset>879475</wp:posOffset>
              </wp:positionH>
              <wp:positionV relativeFrom="page">
                <wp:posOffset>10339705</wp:posOffset>
              </wp:positionV>
              <wp:extent cx="755650" cy="139700"/>
              <wp:effectExtent l="0" t="0" r="6350" b="12700"/>
              <wp:wrapNone/>
              <wp:docPr id="14945198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012C26" w14:textId="77777777" w:rsidR="00EB07A2" w:rsidRDefault="00EB07A2" w:rsidP="00EB07A2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z w:val="18"/>
                            </w:rPr>
                            <w:t>ISSN</w:t>
                          </w:r>
                          <w:r>
                            <w:rPr>
                              <w:rFonts w:ascii="Calibri"/>
                              <w:color w:val="FFFFFF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8"/>
                            </w:rPr>
                            <w:t>2763-9045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512F2" id="Text Box 3" o:spid="_x0000_s1029" type="#_x0000_t202" style="position:absolute;margin-left:69.25pt;margin-top:814.15pt;width:59.5pt;height:11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" filled="f" stroked="f">
              <v:textbox inset="0,0,0,0">
                <w:txbxContent>
                  <w:p w14:paraId="0E012C26" w14:textId="77777777" w:rsidR="00EB07A2" w:rsidRDefault="00EB07A2" w:rsidP="00EB07A2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FFFFFF"/>
                        <w:sz w:val="18"/>
                      </w:rPr>
                      <w:t>ISSN</w:t>
                    </w:r>
                    <w:r>
                      <w:rPr>
                        <w:rFonts w:ascii="Calibri"/>
                        <w:color w:val="FFFFFF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z w:val="18"/>
                      </w:rPr>
                      <w:t>2763-9045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3E859D1" wp14:editId="67B5D053">
              <wp:simplePos x="0" y="0"/>
              <wp:positionH relativeFrom="page">
                <wp:posOffset>2457450</wp:posOffset>
              </wp:positionH>
              <wp:positionV relativeFrom="page">
                <wp:posOffset>10334625</wp:posOffset>
              </wp:positionV>
              <wp:extent cx="2809875" cy="149225"/>
              <wp:effectExtent l="0" t="0" r="9525" b="3175"/>
              <wp:wrapNone/>
              <wp:docPr id="629730392" name="Caixa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CEAC4" w14:textId="7EF0A631" w:rsidR="00EB07A2" w:rsidRDefault="00EB07A2" w:rsidP="00EB07A2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Revista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Episteme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pacing w:val="-8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Transversalis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,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pacing w:val="-10"/>
                              <w:sz w:val="18"/>
                            </w:rPr>
                            <w:t xml:space="preserve"> v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.17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n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. 0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2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,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 xml:space="preserve"> 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p.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 xml:space="preserve"> 265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270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,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 xml:space="preserve"> </w:t>
                          </w:r>
                          <w:r w:rsidRPr="005B3B5C"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202</w:t>
                          </w:r>
                          <w:r>
                            <w:rPr>
                              <w:rFonts w:ascii="Calibri" w:hAnsi="Calibri"/>
                              <w:b/>
                              <w:color w:val="FFFFFF"/>
                              <w:sz w:val="18"/>
                            </w:rPr>
                            <w:t>6</w:t>
                          </w:r>
                        </w:p>
                        <w:p w14:paraId="7F373FC2" w14:textId="77777777" w:rsidR="00EB07A2" w:rsidRDefault="00EB07A2" w:rsidP="00EB07A2">
                          <w:pPr>
                            <w:spacing w:line="203" w:lineRule="exact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E859D1" id="Caixa de Texto 20" o:spid="_x0000_s1030" type="#_x0000_t202" style="position:absolute;margin-left:193.5pt;margin-top:813.75pt;width:221.25pt;height:11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" filled="f" stroked="f">
              <v:textbox inset="0,0,0,0">
                <w:txbxContent>
                  <w:p w14:paraId="3D2CEAC4" w14:textId="7EF0A631" w:rsidR="00EB07A2" w:rsidRDefault="00EB07A2" w:rsidP="00EB07A2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color w:val="FFFFFF"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Revista</w:t>
                    </w:r>
                    <w:r>
                      <w:rPr>
                        <w:rFonts w:ascii="Calibri" w:hAnsi="Calibri"/>
                        <w:b/>
                        <w:color w:val="FFFFF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Episteme</w:t>
                    </w:r>
                    <w:r>
                      <w:rPr>
                        <w:rFonts w:ascii="Calibri" w:hAnsi="Calibri"/>
                        <w:b/>
                        <w:color w:val="FFFFFF"/>
                        <w:spacing w:val="-8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Transversalis</w:t>
                    </w:r>
                    <w:proofErr w:type="spellEnd"/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,</w:t>
                    </w:r>
                    <w:r>
                      <w:rPr>
                        <w:rFonts w:ascii="Calibri" w:hAnsi="Calibri"/>
                        <w:b/>
                        <w:color w:val="FFFFFF"/>
                        <w:spacing w:val="-10"/>
                        <w:sz w:val="18"/>
                      </w:rPr>
                      <w:t xml:space="preserve"> v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.17</w:t>
                    </w:r>
                    <w:r>
                      <w:rPr>
                        <w:rFonts w:ascii="Calibri" w:hAnsi="Calibri"/>
                        <w:b/>
                        <w:color w:val="FFFFFF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n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. 0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2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,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 xml:space="preserve"> 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p.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 xml:space="preserve"> 265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270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,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 xml:space="preserve"> </w:t>
                    </w:r>
                    <w:r w:rsidRPr="005B3B5C"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202</w:t>
                    </w:r>
                    <w:r>
                      <w:rPr>
                        <w:rFonts w:ascii="Calibri" w:hAnsi="Calibri"/>
                        <w:b/>
                        <w:color w:val="FFFFFF"/>
                        <w:sz w:val="18"/>
                      </w:rPr>
                      <w:t>6</w:t>
                    </w:r>
                  </w:p>
                  <w:p w14:paraId="7F373FC2" w14:textId="77777777" w:rsidR="00EB07A2" w:rsidRDefault="00EB07A2" w:rsidP="00EB07A2">
                    <w:pPr>
                      <w:spacing w:line="203" w:lineRule="exact"/>
                      <w:rPr>
                        <w:rFonts w:ascii="Calibri" w:hAnsi="Calibri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665216B2" wp14:editId="29D343EB">
              <wp:simplePos x="0" y="0"/>
              <wp:positionH relativeFrom="page">
                <wp:posOffset>849630</wp:posOffset>
              </wp:positionH>
              <wp:positionV relativeFrom="page">
                <wp:posOffset>10330158</wp:posOffset>
              </wp:positionV>
              <wp:extent cx="6094730" cy="161925"/>
              <wp:effectExtent l="0" t="0" r="1270" b="0"/>
              <wp:wrapNone/>
              <wp:docPr id="779209952" name="Agrupa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94730" cy="161925"/>
                        <a:chOff x="1154" y="15984"/>
                        <a:chExt cx="9598" cy="255"/>
                      </a:xfrm>
                    </wpg:grpSpPr>
                    <wps:wsp>
                      <wps:cNvPr id="648838656" name="AutoShape 6"/>
                      <wps:cNvSpPr>
                        <a:spLocks/>
                      </wps:cNvSpPr>
                      <wps:spPr bwMode="auto">
                        <a:xfrm>
                          <a:off x="1154" y="15983"/>
                          <a:ext cx="9598" cy="252"/>
                        </a:xfrm>
                        <a:custGeom>
                          <a:avLst/>
                          <a:gdLst>
                            <a:gd name="T0" fmla="+- 0 2506 1154"/>
                            <a:gd name="T1" fmla="*/ T0 w 9598"/>
                            <a:gd name="T2" fmla="+- 0 15986 15984"/>
                            <a:gd name="T3" fmla="*/ 15986 h 252"/>
                            <a:gd name="T4" fmla="+- 0 1157 1154"/>
                            <a:gd name="T5" fmla="*/ T4 w 9598"/>
                            <a:gd name="T6" fmla="+- 0 15986 15984"/>
                            <a:gd name="T7" fmla="*/ 15986 h 252"/>
                            <a:gd name="T8" fmla="+- 0 1157 1154"/>
                            <a:gd name="T9" fmla="*/ T8 w 9598"/>
                            <a:gd name="T10" fmla="+- 0 16236 15984"/>
                            <a:gd name="T11" fmla="*/ 16236 h 252"/>
                            <a:gd name="T12" fmla="+- 0 2506 1154"/>
                            <a:gd name="T13" fmla="*/ T12 w 9598"/>
                            <a:gd name="T14" fmla="+- 0 16236 15984"/>
                            <a:gd name="T15" fmla="*/ 16236 h 252"/>
                            <a:gd name="T16" fmla="+- 0 2506 1154"/>
                            <a:gd name="T17" fmla="*/ T16 w 9598"/>
                            <a:gd name="T18" fmla="+- 0 15986 15984"/>
                            <a:gd name="T19" fmla="*/ 15986 h 252"/>
                            <a:gd name="T20" fmla="+- 0 2506 1154"/>
                            <a:gd name="T21" fmla="*/ T20 w 9598"/>
                            <a:gd name="T22" fmla="+- 0 15984 15984"/>
                            <a:gd name="T23" fmla="*/ 15984 h 252"/>
                            <a:gd name="T24" fmla="+- 0 1154 1154"/>
                            <a:gd name="T25" fmla="*/ T24 w 9598"/>
                            <a:gd name="T26" fmla="+- 0 15984 15984"/>
                            <a:gd name="T27" fmla="*/ 15984 h 252"/>
                            <a:gd name="T28" fmla="+- 0 1154 1154"/>
                            <a:gd name="T29" fmla="*/ T28 w 9598"/>
                            <a:gd name="T30" fmla="+- 0 15986 15984"/>
                            <a:gd name="T31" fmla="*/ 15986 h 252"/>
                            <a:gd name="T32" fmla="+- 0 2506 1154"/>
                            <a:gd name="T33" fmla="*/ T32 w 9598"/>
                            <a:gd name="T34" fmla="+- 0 15986 15984"/>
                            <a:gd name="T35" fmla="*/ 15986 h 252"/>
                            <a:gd name="T36" fmla="+- 0 2506 1154"/>
                            <a:gd name="T37" fmla="*/ T36 w 9598"/>
                            <a:gd name="T38" fmla="+- 0 15984 15984"/>
                            <a:gd name="T39" fmla="*/ 15984 h 252"/>
                            <a:gd name="T40" fmla="+- 0 10161 1154"/>
                            <a:gd name="T41" fmla="*/ T40 w 9598"/>
                            <a:gd name="T42" fmla="+- 0 15984 15984"/>
                            <a:gd name="T43" fmla="*/ 15984 h 252"/>
                            <a:gd name="T44" fmla="+- 0 2549 1154"/>
                            <a:gd name="T45" fmla="*/ T44 w 9598"/>
                            <a:gd name="T46" fmla="+- 0 15984 15984"/>
                            <a:gd name="T47" fmla="*/ 15984 h 252"/>
                            <a:gd name="T48" fmla="+- 0 2549 1154"/>
                            <a:gd name="T49" fmla="*/ T48 w 9598"/>
                            <a:gd name="T50" fmla="+- 0 15986 15984"/>
                            <a:gd name="T51" fmla="*/ 15986 h 252"/>
                            <a:gd name="T52" fmla="+- 0 10161 1154"/>
                            <a:gd name="T53" fmla="*/ T52 w 9598"/>
                            <a:gd name="T54" fmla="+- 0 15986 15984"/>
                            <a:gd name="T55" fmla="*/ 15986 h 252"/>
                            <a:gd name="T56" fmla="+- 0 10161 1154"/>
                            <a:gd name="T57" fmla="*/ T56 w 9598"/>
                            <a:gd name="T58" fmla="+- 0 15984 15984"/>
                            <a:gd name="T59" fmla="*/ 15984 h 252"/>
                            <a:gd name="T60" fmla="+- 0 10185 1154"/>
                            <a:gd name="T61" fmla="*/ T60 w 9598"/>
                            <a:gd name="T62" fmla="+- 0 15986 15984"/>
                            <a:gd name="T63" fmla="*/ 15986 h 252"/>
                            <a:gd name="T64" fmla="+- 0 2552 1154"/>
                            <a:gd name="T65" fmla="*/ T64 w 9598"/>
                            <a:gd name="T66" fmla="+- 0 15986 15984"/>
                            <a:gd name="T67" fmla="*/ 15986 h 252"/>
                            <a:gd name="T68" fmla="+- 0 2552 1154"/>
                            <a:gd name="T69" fmla="*/ T68 w 9598"/>
                            <a:gd name="T70" fmla="+- 0 16236 15984"/>
                            <a:gd name="T71" fmla="*/ 16236 h 252"/>
                            <a:gd name="T72" fmla="+- 0 10185 1154"/>
                            <a:gd name="T73" fmla="*/ T72 w 9598"/>
                            <a:gd name="T74" fmla="+- 0 16236 15984"/>
                            <a:gd name="T75" fmla="*/ 16236 h 252"/>
                            <a:gd name="T76" fmla="+- 0 10185 1154"/>
                            <a:gd name="T77" fmla="*/ T76 w 9598"/>
                            <a:gd name="T78" fmla="+- 0 15986 15984"/>
                            <a:gd name="T79" fmla="*/ 15986 h 252"/>
                            <a:gd name="T80" fmla="+- 0 10749 1154"/>
                            <a:gd name="T81" fmla="*/ T80 w 9598"/>
                            <a:gd name="T82" fmla="+- 0 15984 15984"/>
                            <a:gd name="T83" fmla="*/ 15984 h 252"/>
                            <a:gd name="T84" fmla="+- 0 10204 1154"/>
                            <a:gd name="T85" fmla="*/ T84 w 9598"/>
                            <a:gd name="T86" fmla="+- 0 15984 15984"/>
                            <a:gd name="T87" fmla="*/ 15984 h 252"/>
                            <a:gd name="T88" fmla="+- 0 10204 1154"/>
                            <a:gd name="T89" fmla="*/ T88 w 9598"/>
                            <a:gd name="T90" fmla="+- 0 15986 15984"/>
                            <a:gd name="T91" fmla="*/ 15986 h 252"/>
                            <a:gd name="T92" fmla="+- 0 10749 1154"/>
                            <a:gd name="T93" fmla="*/ T92 w 9598"/>
                            <a:gd name="T94" fmla="+- 0 15986 15984"/>
                            <a:gd name="T95" fmla="*/ 15986 h 252"/>
                            <a:gd name="T96" fmla="+- 0 10749 1154"/>
                            <a:gd name="T97" fmla="*/ T96 w 9598"/>
                            <a:gd name="T98" fmla="+- 0 15984 15984"/>
                            <a:gd name="T99" fmla="*/ 15984 h 252"/>
                            <a:gd name="T100" fmla="+- 0 10752 1154"/>
                            <a:gd name="T101" fmla="*/ T100 w 9598"/>
                            <a:gd name="T102" fmla="+- 0 15986 15984"/>
                            <a:gd name="T103" fmla="*/ 15986 h 252"/>
                            <a:gd name="T104" fmla="+- 0 10207 1154"/>
                            <a:gd name="T105" fmla="*/ T104 w 9598"/>
                            <a:gd name="T106" fmla="+- 0 15986 15984"/>
                            <a:gd name="T107" fmla="*/ 15986 h 252"/>
                            <a:gd name="T108" fmla="+- 0 10207 1154"/>
                            <a:gd name="T109" fmla="*/ T108 w 9598"/>
                            <a:gd name="T110" fmla="+- 0 16236 15984"/>
                            <a:gd name="T111" fmla="*/ 16236 h 252"/>
                            <a:gd name="T112" fmla="+- 0 10752 1154"/>
                            <a:gd name="T113" fmla="*/ T112 w 9598"/>
                            <a:gd name="T114" fmla="+- 0 16236 15984"/>
                            <a:gd name="T115" fmla="*/ 16236 h 252"/>
                            <a:gd name="T116" fmla="+- 0 10752 1154"/>
                            <a:gd name="T117" fmla="*/ T116 w 9598"/>
                            <a:gd name="T118" fmla="+- 0 15986 15984"/>
                            <a:gd name="T119" fmla="*/ 15986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9598" h="252">
                              <a:moveTo>
                                <a:pt x="1352" y="2"/>
                              </a:moveTo>
                              <a:lnTo>
                                <a:pt x="3" y="2"/>
                              </a:lnTo>
                              <a:lnTo>
                                <a:pt x="3" y="252"/>
                              </a:lnTo>
                              <a:lnTo>
                                <a:pt x="1352" y="252"/>
                              </a:lnTo>
                              <a:lnTo>
                                <a:pt x="1352" y="2"/>
                              </a:lnTo>
                              <a:close/>
                              <a:moveTo>
                                <a:pt x="1352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352" y="2"/>
                              </a:lnTo>
                              <a:lnTo>
                                <a:pt x="1352" y="0"/>
                              </a:lnTo>
                              <a:close/>
                              <a:moveTo>
                                <a:pt x="9007" y="0"/>
                              </a:moveTo>
                              <a:lnTo>
                                <a:pt x="1395" y="0"/>
                              </a:lnTo>
                              <a:lnTo>
                                <a:pt x="1395" y="2"/>
                              </a:lnTo>
                              <a:lnTo>
                                <a:pt x="9007" y="2"/>
                              </a:lnTo>
                              <a:lnTo>
                                <a:pt x="9007" y="0"/>
                              </a:lnTo>
                              <a:close/>
                              <a:moveTo>
                                <a:pt x="9031" y="2"/>
                              </a:moveTo>
                              <a:lnTo>
                                <a:pt x="1398" y="2"/>
                              </a:lnTo>
                              <a:lnTo>
                                <a:pt x="1398" y="252"/>
                              </a:lnTo>
                              <a:lnTo>
                                <a:pt x="9031" y="252"/>
                              </a:lnTo>
                              <a:lnTo>
                                <a:pt x="9031" y="2"/>
                              </a:lnTo>
                              <a:close/>
                              <a:moveTo>
                                <a:pt x="9595" y="0"/>
                              </a:moveTo>
                              <a:lnTo>
                                <a:pt x="9050" y="0"/>
                              </a:lnTo>
                              <a:lnTo>
                                <a:pt x="9050" y="2"/>
                              </a:lnTo>
                              <a:lnTo>
                                <a:pt x="9595" y="2"/>
                              </a:lnTo>
                              <a:lnTo>
                                <a:pt x="9595" y="0"/>
                              </a:lnTo>
                              <a:close/>
                              <a:moveTo>
                                <a:pt x="9598" y="2"/>
                              </a:moveTo>
                              <a:lnTo>
                                <a:pt x="9053" y="2"/>
                              </a:lnTo>
                              <a:lnTo>
                                <a:pt x="9053" y="252"/>
                              </a:lnTo>
                              <a:lnTo>
                                <a:pt x="9598" y="252"/>
                              </a:lnTo>
                              <a:lnTo>
                                <a:pt x="9598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4B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EFB1E2" w14:textId="77777777" w:rsidR="00EB07A2" w:rsidRDefault="00EB07A2" w:rsidP="00EB07A2">
                            <w:pPr>
                              <w:jc w:val="center"/>
                            </w:pPr>
                            <w:r w:rsidRPr="001D483A">
                              <w:rPr>
                                <w:noProof/>
                              </w:rPr>
                              <w:drawing>
                                <wp:inline distT="0" distB="0" distL="0" distR="0" wp14:anchorId="1087DB95" wp14:editId="46FFAA9C">
                                  <wp:extent cx="342900" cy="68580"/>
                                  <wp:effectExtent l="0" t="0" r="0" b="7620"/>
                                  <wp:docPr id="1077197882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68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D483A">
                              <w:rPr>
                                <w:noProof/>
                              </w:rPr>
                              <w:drawing>
                                <wp:inline distT="0" distB="0" distL="0" distR="0" wp14:anchorId="59410773" wp14:editId="2EC7AC62">
                                  <wp:extent cx="68580" cy="68580"/>
                                  <wp:effectExtent l="0" t="0" r="7620" b="7620"/>
                                  <wp:docPr id="987248719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" cy="68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05298264" name="Rectangle 5"/>
                      <wps:cNvSpPr>
                        <a:spLocks noChangeArrowheads="1"/>
                      </wps:cNvSpPr>
                      <wps:spPr bwMode="auto">
                        <a:xfrm>
                          <a:off x="10161" y="15985"/>
                          <a:ext cx="44" cy="2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5216B2" id="Agrupar 18" o:spid="_x0000_s1031" style="position:absolute;margin-left:66.9pt;margin-top:813.4pt;width:479.9pt;height:12.75pt;z-index:-251649024;mso-position-horizontal-relative:page;mso-position-vertical-relative:page" coordorigin="1154,15984" coordsize="9598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">
              <v:shape id="AutoShape 6" o:spid="_x0000_s1032" style="position:absolute;left:1154;top:15983;width:9598;height:252;visibility:visible;mso-wrap-style:square;v-text-anchor:top" coordsize="9598,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" adj="-11796480,,5400" path="m1352,2l3,2r,250l1352,252r,-250xm1352,l,,,2r1352,l1352,xm9007,l1395,r,2l9007,2r,-2xm9031,2l1398,2r,250l9031,252r,-250xm9595,l9050,r,2l9595,2r,-2xm9598,2r-545,l9053,252r545,l9598,2xe" fillcolor="#2d74b5" stroked="f">
                <v:stroke joinstyle="miter"/>
                <v:formulas/>
                <v:path arrowok="t" o:connecttype="custom" o:connectlocs="1352,15986;3,15986;3,16236;1352,16236;1352,15986;1352,15984;0,15984;0,15986;1352,15986;1352,15984;9007,15984;1395,15984;1395,15986;9007,15986;9007,15984;9031,15986;1398,15986;1398,16236;9031,16236;9031,15986;9595,15984;9050,15984;9050,15986;9595,15986;9595,15984;9598,15986;9053,15986;9053,16236;9598,16236;9598,15986" o:connectangles="0,0,0,0,0,0,0,0,0,0,0,0,0,0,0,0,0,0,0,0,0,0,0,0,0,0,0,0,0,0" textboxrect="0,0,9598,252"/>
                <v:textbox>
                  <w:txbxContent>
                    <w:p w14:paraId="12EFB1E2" w14:textId="77777777" w:rsidR="00EB07A2" w:rsidRDefault="00EB07A2" w:rsidP="00EB07A2">
                      <w:pPr>
                        <w:jc w:val="center"/>
                      </w:pPr>
                      <w:r w:rsidRPr="001D483A">
                        <w:rPr>
                          <w:noProof/>
                        </w:rPr>
                        <w:drawing>
                          <wp:inline distT="0" distB="0" distL="0" distR="0" wp14:anchorId="1087DB95" wp14:editId="46FFAA9C">
                            <wp:extent cx="342900" cy="68580"/>
                            <wp:effectExtent l="0" t="0" r="0" b="7620"/>
                            <wp:docPr id="1077197882" name="Imagem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68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D483A">
                        <w:rPr>
                          <w:noProof/>
                        </w:rPr>
                        <w:drawing>
                          <wp:inline distT="0" distB="0" distL="0" distR="0" wp14:anchorId="59410773" wp14:editId="2EC7AC62">
                            <wp:extent cx="68580" cy="68580"/>
                            <wp:effectExtent l="0" t="0" r="7620" b="7620"/>
                            <wp:docPr id="987248719" name="Imagem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" cy="68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rect id="Rectangle 5" o:spid="_x0000_s1033" style="position:absolute;left:10161;top:15985;width:44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" stroked="f"/>
              <w10:wrap anchorx="page" anchory="page"/>
            </v:group>
          </w:pict>
        </mc:Fallback>
      </mc:AlternateContent>
    </w:r>
    <w:r w:rsidR="004851CE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265646E" wp14:editId="68D06D33">
              <wp:simplePos x="0" y="0"/>
              <wp:positionH relativeFrom="column">
                <wp:posOffset>390208</wp:posOffset>
              </wp:positionH>
              <wp:positionV relativeFrom="paragraph">
                <wp:posOffset>-8571</wp:posOffset>
              </wp:positionV>
              <wp:extent cx="774700" cy="158750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3413" y="3705388"/>
                        <a:ext cx="76517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5647E" w14:textId="77777777" w:rsidR="00222253" w:rsidRDefault="004851CE">
                          <w:pPr>
                            <w:spacing w:line="203" w:lineRule="auto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FFFFFF"/>
                              <w:sz w:val="18"/>
                            </w:rPr>
                            <w:t>ISSN 2763-9045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5646E" id="Retângulo 9" o:spid="_x0000_s1034" style="position:absolute;margin-left:30.75pt;margin-top:-.65pt;width:61pt;height:12.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" filled="f" stroked="f">
              <v:textbox inset="0,0,0,0">
                <w:txbxContent>
                  <w:p w14:paraId="4265647E" w14:textId="77777777" w:rsidR="00222253" w:rsidRDefault="004851CE">
                    <w:pPr>
                      <w:spacing w:line="203" w:lineRule="auto"/>
                      <w:ind w:left="20" w:firstLine="4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FFFFFF"/>
                        <w:sz w:val="18"/>
                      </w:rPr>
                      <w:t>ISSN 2763-9045</w:t>
                    </w:r>
                  </w:p>
                </w:txbxContent>
              </v:textbox>
            </v:rect>
          </w:pict>
        </mc:Fallback>
      </mc:AlternateContent>
    </w:r>
    <w:r w:rsidR="004851CE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42656470" wp14:editId="1EFA3AA9">
              <wp:simplePos x="0" y="0"/>
              <wp:positionH relativeFrom="column">
                <wp:posOffset>6191520</wp:posOffset>
              </wp:positionH>
              <wp:positionV relativeFrom="paragraph">
                <wp:posOffset>-3491</wp:posOffset>
              </wp:positionV>
              <wp:extent cx="138598" cy="150124"/>
              <wp:effectExtent l="0" t="0" r="0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5281464" y="3709701"/>
                        <a:ext cx="129073" cy="1405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5647F" w14:textId="77777777" w:rsidR="00222253" w:rsidRDefault="004851CE">
                          <w:pPr>
                            <w:spacing w:line="203" w:lineRule="auto"/>
                            <w:ind w:left="6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56470" id="Retângulo 8" o:spid="_x0000_s1035" style="position:absolute;margin-left:487.5pt;margin-top:-.25pt;width:10.9pt;height:11.8pt;flip:x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" filled="f" stroked="f">
              <v:textbox inset="0,0,0,0">
                <w:txbxContent>
                  <w:p w14:paraId="4265647F" w14:textId="77777777" w:rsidR="00222253" w:rsidRDefault="004851CE">
                    <w:pPr>
                      <w:spacing w:line="203" w:lineRule="auto"/>
                      <w:ind w:left="6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18"/>
                      </w:rPr>
                      <w:t>2</w:t>
                    </w:r>
                  </w:p>
                </w:txbxContent>
              </v:textbox>
            </v:rect>
          </w:pict>
        </mc:Fallback>
      </mc:AlternateContent>
    </w:r>
    <w:r w:rsidR="004851CE">
      <w:rPr>
        <w:noProof/>
      </w:rPr>
      <mc:AlternateContent>
        <mc:Choice Requires="wpg">
          <w:drawing>
            <wp:anchor distT="0" distB="0" distL="0" distR="0" simplePos="0" relativeHeight="251663360" behindDoc="1" locked="0" layoutInCell="1" hidden="0" allowOverlap="1" wp14:anchorId="42656472" wp14:editId="00A925E9">
              <wp:simplePos x="0" y="0"/>
              <wp:positionH relativeFrom="column">
                <wp:posOffset>332740</wp:posOffset>
              </wp:positionH>
              <wp:positionV relativeFrom="paragraph">
                <wp:posOffset>86774</wp:posOffset>
              </wp:positionV>
              <wp:extent cx="6094730" cy="161925"/>
              <wp:effectExtent l="0" t="0" r="0" b="0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4730" cy="161925"/>
                        <a:chOff x="2298625" y="3699025"/>
                        <a:chExt cx="6080150" cy="160675"/>
                      </a:xfrm>
                    </wpg:grpSpPr>
                    <wpg:grpSp>
                      <wpg:cNvPr id="410149027" name="Agrupar 410149027"/>
                      <wpg:cNvGrpSpPr/>
                      <wpg:grpSpPr>
                        <a:xfrm>
                          <a:off x="2298635" y="3699038"/>
                          <a:ext cx="6080125" cy="160655"/>
                          <a:chOff x="1154" y="15984"/>
                          <a:chExt cx="9575" cy="253"/>
                        </a:xfrm>
                      </wpg:grpSpPr>
                      <wps:wsp>
                        <wps:cNvPr id="2098478001" name="Retângulo 2098478001"/>
                        <wps:cNvSpPr/>
                        <wps:spPr>
                          <a:xfrm>
                            <a:off x="1154" y="15984"/>
                            <a:ext cx="957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656480" w14:textId="77777777" w:rsidR="00222253" w:rsidRDefault="0022225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96471068" name="Retângulo 2096471068"/>
                        <wps:cNvSpPr/>
                        <wps:spPr>
                          <a:xfrm>
                            <a:off x="10161" y="15985"/>
                            <a:ext cx="44" cy="2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2656481" w14:textId="77777777" w:rsidR="00222253" w:rsidRDefault="0022225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2656472" id="Agrupar 5" o:spid="_x0000_s1036" style="position:absolute;margin-left:26.2pt;margin-top:6.85pt;width:479.9pt;height:12.75pt;z-index:-251653120;mso-wrap-distance-left:0;mso-wrap-distance-right:0" coordorigin="22986,36990" coordsize="60801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">
              <v:group id="Agrupar 410149027" o:spid="_x0000_s1037" style="position:absolute;left:22986;top:36990;width:60801;height:1606" coordorigin="1154,15984" coordsize="9575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">
                <v:rect id="Retângulo 2098478001" o:spid="_x0000_s1038" style="position:absolute;left:1154;top:15984;width:9575;height: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" filled="f" stroked="f">
                  <v:textbox inset="2.53958mm,2.53958mm,2.53958mm,2.53958mm">
                    <w:txbxContent>
                      <w:p w14:paraId="42656480" w14:textId="77777777" w:rsidR="00222253" w:rsidRDefault="0022225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tângulo 2096471068" o:spid="_x0000_s1039" style="position:absolute;left:10161;top:15985;width:44;height: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" stroked="f">
                  <v:textbox inset="2.53958mm,2.53958mm,2.53958mm,2.53958mm">
                    <w:txbxContent>
                      <w:p w14:paraId="42656481" w14:textId="77777777" w:rsidR="00222253" w:rsidRDefault="00222253">
                        <w:pPr>
                          <w:textDirection w:val="btLr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  <w:r w:rsidR="004851CE"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42656474" wp14:editId="74201E2E">
              <wp:simplePos x="0" y="0"/>
              <wp:positionH relativeFrom="column">
                <wp:posOffset>381857</wp:posOffset>
              </wp:positionH>
              <wp:positionV relativeFrom="paragraph">
                <wp:posOffset>83821</wp:posOffset>
              </wp:positionV>
              <wp:extent cx="765175" cy="149225"/>
              <wp:effectExtent l="0" t="0" r="0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8175" y="3710150"/>
                        <a:ext cx="7556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56482" w14:textId="77777777" w:rsidR="00222253" w:rsidRDefault="004851CE">
                          <w:pPr>
                            <w:spacing w:line="203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FFFFFF"/>
                              <w:sz w:val="18"/>
                            </w:rPr>
                            <w:t>ISSN 2763-9045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56474" id="Retângulo 4" o:spid="_x0000_s1040" style="position:absolute;margin-left:30.05pt;margin-top:6.6pt;width:60.25pt;height:11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" filled="f" stroked="f">
              <v:textbox inset="0,0,0,0">
                <w:txbxContent>
                  <w:p w14:paraId="42656482" w14:textId="77777777" w:rsidR="00222253" w:rsidRDefault="004851CE">
                    <w:pPr>
                      <w:spacing w:line="203" w:lineRule="auto"/>
                      <w:ind w:left="20" w:firstLine="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FFFFFF"/>
                        <w:sz w:val="18"/>
                      </w:rPr>
                      <w:t>ISSN 2763-9045</w:t>
                    </w:r>
                  </w:p>
                </w:txbxContent>
              </v:textbox>
            </v:rect>
          </w:pict>
        </mc:Fallback>
      </mc:AlternateContent>
    </w:r>
    <w:r w:rsidR="004851CE">
      <w:rPr>
        <w:noProof/>
      </w:rPr>
      <w:drawing>
        <wp:anchor distT="0" distB="0" distL="0" distR="0" simplePos="0" relativeHeight="251665408" behindDoc="1" locked="0" layoutInCell="1" hidden="0" allowOverlap="1" wp14:anchorId="42656476" wp14:editId="0F32AFF2">
          <wp:simplePos x="0" y="0"/>
          <wp:positionH relativeFrom="column">
            <wp:posOffset>381857</wp:posOffset>
          </wp:positionH>
          <wp:positionV relativeFrom="paragraph">
            <wp:posOffset>83821</wp:posOffset>
          </wp:positionV>
          <wp:extent cx="765175" cy="149225"/>
          <wp:effectExtent l="0" t="0" r="0" b="0"/>
          <wp:wrapNone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175" cy="149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E94D" w14:textId="77777777" w:rsidR="00AE1BC6" w:rsidRDefault="00AE1BC6">
      <w:r>
        <w:separator/>
      </w:r>
    </w:p>
  </w:footnote>
  <w:footnote w:type="continuationSeparator" w:id="0">
    <w:p w14:paraId="0336A70D" w14:textId="77777777" w:rsidR="00AE1BC6" w:rsidRDefault="00AE1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6466" w14:textId="77777777" w:rsidR="00222253" w:rsidRDefault="004851C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2656468" wp14:editId="42656469">
              <wp:simplePos x="0" y="0"/>
              <wp:positionH relativeFrom="page">
                <wp:posOffset>856033</wp:posOffset>
              </wp:positionH>
              <wp:positionV relativeFrom="page">
                <wp:posOffset>333058</wp:posOffset>
              </wp:positionV>
              <wp:extent cx="412750" cy="15875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44388" y="3705388"/>
                        <a:ext cx="40322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5647C" w14:textId="77777777" w:rsidR="00222253" w:rsidRDefault="004851CE">
                          <w:pPr>
                            <w:spacing w:line="203" w:lineRule="auto"/>
                            <w:ind w:left="20" w:firstLine="4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18"/>
                            </w:rPr>
                            <w:t>ARTIGO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56468" id="Retângulo 7" o:spid="_x0000_s1026" style="position:absolute;margin-left:67.4pt;margin-top:26.25pt;width:32.5pt;height:12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" filled="f" stroked="f">
              <v:textbox inset="0,0,0,0">
                <w:txbxContent>
                  <w:p w14:paraId="4265647C" w14:textId="77777777" w:rsidR="00222253" w:rsidRDefault="004851CE">
                    <w:pPr>
                      <w:spacing w:line="203" w:lineRule="auto"/>
                      <w:ind w:left="20" w:firstLine="40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18"/>
                      </w:rPr>
                      <w:t>ARTIGO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265646A" wp14:editId="4265646B">
              <wp:simplePos x="0" y="0"/>
              <wp:positionH relativeFrom="page">
                <wp:posOffset>1392238</wp:posOffset>
              </wp:positionH>
              <wp:positionV relativeFrom="page">
                <wp:posOffset>278712</wp:posOffset>
              </wp:positionV>
              <wp:extent cx="5436870" cy="241935"/>
              <wp:effectExtent l="0" t="0" r="0" b="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32328" y="3663795"/>
                        <a:ext cx="5427345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5647D" w14:textId="77777777" w:rsidR="00222253" w:rsidRDefault="004851CE">
                          <w:pPr>
                            <w:spacing w:line="203" w:lineRule="auto"/>
                            <w:ind w:lef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17"/>
                            </w:rPr>
                            <w:t>A EFICÁCIA DAS POLÍTICAS DE COTAS RACIAIS NO ENSINO SUPERIOR: UM OLHAR JURÍDICO SOBRE A INCLUSÃO E A IGUALDADE DE OPORTUNIDADES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5646A" id="Retângulo 3" o:spid="_x0000_s1027" style="position:absolute;margin-left:109.65pt;margin-top:21.95pt;width:428.1pt;height:19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" filled="f" stroked="f">
              <v:textbox inset="0,0,0,0">
                <w:txbxContent>
                  <w:p w14:paraId="4265647D" w14:textId="77777777" w:rsidR="00222253" w:rsidRDefault="004851CE">
                    <w:pPr>
                      <w:spacing w:line="203" w:lineRule="auto"/>
                      <w:ind w:left="20" w:firstLine="40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17"/>
                      </w:rPr>
                      <w:t>A EFICÁCIA DAS POLÍTICAS DE COTAS RACIAIS NO ENSINO SUPERIOR: UM OLHAR JURÍDICO SOBRE A INCLUSÃO E A IGUALDADE DE OPORTUNIDADES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4"/>
        <w:szCs w:val="24"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4265646C" wp14:editId="4265646D">
              <wp:simplePos x="0" y="0"/>
              <wp:positionH relativeFrom="page">
                <wp:posOffset>769168</wp:posOffset>
              </wp:positionH>
              <wp:positionV relativeFrom="page">
                <wp:posOffset>271032</wp:posOffset>
              </wp:positionV>
              <wp:extent cx="6169660" cy="242414"/>
              <wp:effectExtent l="0" t="0" r="0" b="0"/>
              <wp:wrapNone/>
              <wp:docPr id="6" name="Forma Livre: Form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65933" y="3663556"/>
                        <a:ext cx="6160135" cy="23288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01" h="272" extrusionOk="0">
                            <a:moveTo>
                              <a:pt x="1013" y="0"/>
                            </a:moveTo>
                            <a:lnTo>
                              <a:pt x="0" y="0"/>
                            </a:lnTo>
                            <a:lnTo>
                              <a:pt x="0" y="3"/>
                            </a:lnTo>
                            <a:lnTo>
                              <a:pt x="2" y="3"/>
                            </a:lnTo>
                            <a:lnTo>
                              <a:pt x="2" y="272"/>
                            </a:lnTo>
                            <a:lnTo>
                              <a:pt x="1013" y="272"/>
                            </a:lnTo>
                            <a:lnTo>
                              <a:pt x="1013" y="3"/>
                            </a:lnTo>
                            <a:lnTo>
                              <a:pt x="1013" y="0"/>
                            </a:lnTo>
                            <a:close/>
                            <a:moveTo>
                              <a:pt x="9700" y="0"/>
                            </a:moveTo>
                            <a:lnTo>
                              <a:pt x="1056" y="0"/>
                            </a:lnTo>
                            <a:lnTo>
                              <a:pt x="1056" y="3"/>
                            </a:lnTo>
                            <a:lnTo>
                              <a:pt x="1058" y="3"/>
                            </a:lnTo>
                            <a:lnTo>
                              <a:pt x="1058" y="272"/>
                            </a:lnTo>
                            <a:lnTo>
                              <a:pt x="9700" y="272"/>
                            </a:lnTo>
                            <a:lnTo>
                              <a:pt x="9700" y="3"/>
                            </a:lnTo>
                            <a:lnTo>
                              <a:pt x="9700" y="0"/>
                            </a:lnTo>
                            <a:close/>
                          </a:path>
                        </a:pathLst>
                      </a:custGeom>
                      <a:solidFill>
                        <a:srgbClr val="2D74B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769168</wp:posOffset>
              </wp:positionH>
              <wp:positionV relativeFrom="page">
                <wp:posOffset>271032</wp:posOffset>
              </wp:positionV>
              <wp:extent cx="6169660" cy="242414"/>
              <wp:effectExtent b="0" l="0" r="0" t="0"/>
              <wp:wrapNone/>
              <wp:docPr id="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69660" cy="24241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54216"/>
    <w:multiLevelType w:val="multilevel"/>
    <w:tmpl w:val="ED382694"/>
    <w:lvl w:ilvl="0">
      <w:start w:val="1"/>
      <w:numFmt w:val="decimal"/>
      <w:lvlText w:val="%1"/>
      <w:lvlJc w:val="left"/>
      <w:pPr>
        <w:ind w:left="692" w:hanging="18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674" w:hanging="180"/>
      </w:pPr>
    </w:lvl>
    <w:lvl w:ilvl="2">
      <w:numFmt w:val="bullet"/>
      <w:lvlText w:val="•"/>
      <w:lvlJc w:val="left"/>
      <w:pPr>
        <w:ind w:left="2649" w:hanging="180"/>
      </w:pPr>
    </w:lvl>
    <w:lvl w:ilvl="3">
      <w:numFmt w:val="bullet"/>
      <w:lvlText w:val="•"/>
      <w:lvlJc w:val="left"/>
      <w:pPr>
        <w:ind w:left="3623" w:hanging="180"/>
      </w:pPr>
    </w:lvl>
    <w:lvl w:ilvl="4">
      <w:numFmt w:val="bullet"/>
      <w:lvlText w:val="•"/>
      <w:lvlJc w:val="left"/>
      <w:pPr>
        <w:ind w:left="4598" w:hanging="180"/>
      </w:pPr>
    </w:lvl>
    <w:lvl w:ilvl="5">
      <w:numFmt w:val="bullet"/>
      <w:lvlText w:val="•"/>
      <w:lvlJc w:val="left"/>
      <w:pPr>
        <w:ind w:left="5573" w:hanging="180"/>
      </w:pPr>
    </w:lvl>
    <w:lvl w:ilvl="6">
      <w:numFmt w:val="bullet"/>
      <w:lvlText w:val="•"/>
      <w:lvlJc w:val="left"/>
      <w:pPr>
        <w:ind w:left="6547" w:hanging="180"/>
      </w:pPr>
    </w:lvl>
    <w:lvl w:ilvl="7">
      <w:numFmt w:val="bullet"/>
      <w:lvlText w:val="•"/>
      <w:lvlJc w:val="left"/>
      <w:pPr>
        <w:ind w:left="7522" w:hanging="180"/>
      </w:pPr>
    </w:lvl>
    <w:lvl w:ilvl="8">
      <w:numFmt w:val="bullet"/>
      <w:lvlText w:val="•"/>
      <w:lvlJc w:val="left"/>
      <w:pPr>
        <w:ind w:left="8497" w:hanging="180"/>
      </w:pPr>
    </w:lvl>
  </w:abstractNum>
  <w:num w:numId="1" w16cid:durableId="66200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53"/>
    <w:rsid w:val="0003378B"/>
    <w:rsid w:val="00222253"/>
    <w:rsid w:val="004063D2"/>
    <w:rsid w:val="004851CE"/>
    <w:rsid w:val="005522E0"/>
    <w:rsid w:val="005E6653"/>
    <w:rsid w:val="00775204"/>
    <w:rsid w:val="00AE1BC6"/>
    <w:rsid w:val="00B71369"/>
    <w:rsid w:val="00EB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563E2"/>
  <w15:docId w15:val="{AFBD8EEC-F1D4-4D97-86F3-C1A49E12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51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B07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07A2"/>
  </w:style>
  <w:style w:type="paragraph" w:styleId="Rodap">
    <w:name w:val="footer"/>
    <w:basedOn w:val="Normal"/>
    <w:link w:val="RodapChar"/>
    <w:uiPriority w:val="99"/>
    <w:unhideWhenUsed/>
    <w:rsid w:val="00EB07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0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2552</Words>
  <Characters>13783</Characters>
  <Application>Microsoft Office Word</Application>
  <DocSecurity>0</DocSecurity>
  <Lines>114</Lines>
  <Paragraphs>32</Paragraphs>
  <ScaleCrop>false</ScaleCrop>
  <Company/>
  <LinksUpToDate>false</LinksUpToDate>
  <CharactersWithSpaces>16303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Marconi Andrade</cp:lastModifiedBy>
  <cp:revision>4</cp:revision>
  <dcterms:created xsi:type="dcterms:W3CDTF">2026-08-28T13:29:00Z</dcterms:created>
  <dcterms:modified xsi:type="dcterms:W3CDTF">2026-09-06T21:59:00Z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2023-05-25T00:00:00Z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2023-06-14T00:00:00Z</vt:lpwstr>
  </property>
</Properties>
</file>